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Times New Roman" w:hAnsi="Times New Roman" w:eastAsia="方正小标宋简体" w:cs="方正小标宋简体"/>
          <w:color w:val="auto"/>
          <w:kern w:val="2"/>
          <w:sz w:val="44"/>
          <w:szCs w:val="52"/>
          <w:highlight w:val="none"/>
          <w:lang w:val="en-US" w:eastAsia="zh-CN" w:bidi="ar-SA"/>
        </w:rPr>
      </w:pPr>
      <w:r>
        <w:rPr>
          <w:rFonts w:hint="eastAsia" w:ascii="Times New Roman" w:hAnsi="Times New Roman" w:eastAsia="方正小标宋简体" w:cs="方正小标宋简体"/>
          <w:color w:val="auto"/>
          <w:kern w:val="2"/>
          <w:sz w:val="44"/>
          <w:szCs w:val="52"/>
          <w:highlight w:val="none"/>
          <w:lang w:val="en-US" w:eastAsia="zh-CN" w:bidi="ar-SA"/>
        </w:rPr>
        <w:t>昆明市数据产业促进条例</w:t>
      </w:r>
    </w:p>
    <w:p>
      <w:pPr>
        <w:pStyle w:val="1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（征求意见稿）</w:t>
      </w:r>
    </w:p>
    <w:p>
      <w:pPr>
        <w:pStyle w:val="2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b/>
          <w:bCs/>
          <w:color w:val="auto"/>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第一章 总则</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第一条  【制定目的】</w:t>
      </w:r>
      <w:r>
        <w:rPr>
          <w:rFonts w:hint="eastAsia" w:ascii="Times New Roman" w:hAnsi="Times New Roman" w:eastAsia="仿宋_GB2312" w:cs="仿宋_GB2312"/>
          <w:b w:val="0"/>
          <w:bCs w:val="0"/>
          <w:color w:val="auto"/>
          <w:sz w:val="32"/>
          <w:szCs w:val="32"/>
          <w:highlight w:val="none"/>
          <w:lang w:val="en-US" w:eastAsia="zh-CN"/>
        </w:rPr>
        <w:t>为了推动数据资源挖掘利用，推进数据要素市场化配置，促进数据产业高质量发展，构建以数据为关键要素的数字经济，加快数字昆明建设，根据</w:t>
      </w:r>
      <w:r>
        <w:rPr>
          <w:rFonts w:hint="eastAsia" w:ascii="Times New Roman" w:hAnsi="Times New Roman" w:eastAsia="仿宋_GB2312" w:cs="仿宋_GB2312"/>
          <w:sz w:val="32"/>
          <w:szCs w:val="32"/>
          <w:highlight w:val="none"/>
        </w:rPr>
        <w:t>《中华人民共和国数据安全法》《中华人民共和国个人信息保护法》《中华人民共和国网络安全法》等</w:t>
      </w:r>
      <w:r>
        <w:rPr>
          <w:rFonts w:hint="eastAsia" w:ascii="Times New Roman" w:hAnsi="Times New Roman" w:eastAsia="仿宋_GB2312" w:cs="仿宋_GB2312"/>
          <w:b w:val="0"/>
          <w:bCs w:val="0"/>
          <w:color w:val="auto"/>
          <w:sz w:val="32"/>
          <w:szCs w:val="32"/>
          <w:highlight w:val="none"/>
          <w:lang w:val="en-US" w:eastAsia="zh-CN"/>
        </w:rPr>
        <w:t>法律、法规，结合本市实际，制定本条例。</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第二条  【适用范围】</w:t>
      </w:r>
      <w:r>
        <w:rPr>
          <w:rFonts w:hint="eastAsia" w:ascii="Times New Roman" w:hAnsi="Times New Roman" w:eastAsia="仿宋_GB2312" w:cs="仿宋_GB2312"/>
          <w:color w:val="auto"/>
          <w:sz w:val="32"/>
          <w:szCs w:val="32"/>
          <w:highlight w:val="none"/>
          <w:lang w:val="en-US" w:eastAsia="zh-CN"/>
        </w:rPr>
        <w:t>本市行政区域内的促进数据产业发展相关活动，应当遵守本条例。</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本条例所称数据产业，</w:t>
      </w:r>
      <w:r>
        <w:rPr>
          <w:rFonts w:hint="eastAsia" w:ascii="Times New Roman" w:hAnsi="Times New Roman" w:eastAsia="仿宋_GB2312" w:cs="仿宋_GB2312"/>
          <w:color w:val="auto"/>
          <w:sz w:val="32"/>
          <w:szCs w:val="32"/>
          <w:highlight w:val="none"/>
        </w:rPr>
        <w:t>是</w:t>
      </w:r>
      <w:r>
        <w:rPr>
          <w:rFonts w:hint="eastAsia" w:ascii="Times New Roman" w:hAnsi="Times New Roman" w:eastAsia="仿宋_GB2312" w:cs="仿宋_GB2312"/>
          <w:color w:val="auto"/>
          <w:sz w:val="32"/>
          <w:szCs w:val="32"/>
          <w:highlight w:val="none"/>
          <w:lang w:val="en-US" w:eastAsia="zh-CN"/>
        </w:rPr>
        <w:t>指</w:t>
      </w:r>
      <w:r>
        <w:rPr>
          <w:rFonts w:hint="eastAsia" w:ascii="Times New Roman" w:hAnsi="Times New Roman" w:eastAsia="仿宋_GB2312" w:cs="仿宋_GB2312"/>
          <w:color w:val="auto"/>
          <w:sz w:val="32"/>
          <w:szCs w:val="32"/>
          <w:highlight w:val="none"/>
        </w:rPr>
        <w:t>利用现代信息技术对数据资源进行产品或服务开发，并推动其流通应用所形成的新兴产业，包括数据采集汇聚、计算存储、流通交易、开发利用、安全治理和数据基础设施建设等。</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第三条  【基本原则】</w:t>
      </w:r>
      <w:r>
        <w:rPr>
          <w:rFonts w:hint="eastAsia" w:ascii="Times New Roman" w:hAnsi="Times New Roman" w:eastAsia="仿宋_GB2312" w:cs="仿宋_GB2312"/>
          <w:color w:val="auto"/>
          <w:sz w:val="32"/>
          <w:szCs w:val="32"/>
          <w:highlight w:val="none"/>
          <w:lang w:val="en-US" w:eastAsia="zh-CN"/>
        </w:rPr>
        <w:t>数据产业促进应当坚持政府引导、市场主导、应用牵引、包容审慎、安全可控、绿色低碳的原则。</w:t>
      </w:r>
    </w:p>
    <w:p>
      <w:pPr>
        <w:pStyle w:val="21"/>
        <w:keepNext w:val="0"/>
        <w:keepLines w:val="0"/>
        <w:pageBreakBefore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highlight w:val="none"/>
        </w:rPr>
      </w:pPr>
      <w:r>
        <w:rPr>
          <w:rFonts w:hint="eastAsia" w:ascii="Times New Roman" w:hAnsi="Times New Roman" w:eastAsia="仿宋_GB2312" w:cs="仿宋_GB2312"/>
          <w:b/>
          <w:bCs/>
          <w:color w:val="auto"/>
          <w:szCs w:val="32"/>
          <w:highlight w:val="none"/>
          <w:lang w:val="en-US" w:eastAsia="zh-CN"/>
        </w:rPr>
        <w:t>第四条  【职责划分】</w:t>
      </w:r>
      <w:r>
        <w:rPr>
          <w:rFonts w:hint="eastAsia" w:ascii="Times New Roman" w:hAnsi="Times New Roman" w:eastAsia="仿宋_GB2312"/>
          <w:highlight w:val="none"/>
        </w:rPr>
        <w:t>市</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县（市、区）</w:t>
      </w:r>
      <w:r>
        <w:rPr>
          <w:rFonts w:hint="eastAsia" w:ascii="Times New Roman" w:hAnsi="Times New Roman" w:eastAsia="仿宋_GB2312"/>
          <w:highlight w:val="none"/>
        </w:rPr>
        <w:t>人民政府应当加强对本行政区域内</w:t>
      </w:r>
      <w:r>
        <w:rPr>
          <w:rFonts w:hint="eastAsia" w:ascii="Times New Roman" w:hAnsi="Times New Roman" w:eastAsia="仿宋_GB2312"/>
          <w:highlight w:val="none"/>
          <w:lang w:val="en-US" w:eastAsia="zh-CN"/>
        </w:rPr>
        <w:t>数据产业</w:t>
      </w:r>
      <w:r>
        <w:rPr>
          <w:rFonts w:hint="eastAsia" w:ascii="Times New Roman" w:hAnsi="Times New Roman" w:eastAsia="仿宋_GB2312"/>
          <w:highlight w:val="none"/>
        </w:rPr>
        <w:t>发展工作的领导，将</w:t>
      </w:r>
      <w:r>
        <w:rPr>
          <w:rFonts w:hint="eastAsia" w:ascii="Times New Roman" w:hAnsi="Times New Roman" w:eastAsia="仿宋_GB2312"/>
          <w:highlight w:val="none"/>
          <w:lang w:val="en-US" w:eastAsia="zh-CN"/>
        </w:rPr>
        <w:t>数据产业</w:t>
      </w:r>
      <w:r>
        <w:rPr>
          <w:rFonts w:hint="eastAsia" w:ascii="Times New Roman" w:hAnsi="Times New Roman" w:eastAsia="仿宋_GB2312"/>
          <w:highlight w:val="none"/>
        </w:rPr>
        <w:t>发展纳入</w:t>
      </w:r>
      <w:bookmarkStart w:id="0" w:name="_GoBack"/>
      <w:bookmarkEnd w:id="0"/>
      <w:r>
        <w:rPr>
          <w:rFonts w:hint="eastAsia" w:ascii="Times New Roman" w:hAnsi="Times New Roman" w:eastAsia="仿宋_GB2312"/>
          <w:highlight w:val="none"/>
        </w:rPr>
        <w:t>国民经济和社会发展规划纲要，建立健全</w:t>
      </w:r>
      <w:r>
        <w:rPr>
          <w:rFonts w:hint="eastAsia" w:ascii="Times New Roman" w:hAnsi="Times New Roman" w:eastAsia="仿宋_GB2312"/>
          <w:highlight w:val="none"/>
          <w:lang w:val="en-US" w:eastAsia="zh-CN"/>
        </w:rPr>
        <w:t>数据产业</w:t>
      </w:r>
      <w:r>
        <w:rPr>
          <w:rFonts w:hint="eastAsia" w:ascii="Times New Roman" w:hAnsi="Times New Roman" w:eastAsia="仿宋_GB2312"/>
          <w:highlight w:val="none"/>
        </w:rPr>
        <w:t>发展工作协调机制，统筹政策制定</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规划布局与</w:t>
      </w:r>
      <w:r>
        <w:rPr>
          <w:rFonts w:hint="eastAsia" w:ascii="Times New Roman" w:hAnsi="Times New Roman" w:eastAsia="仿宋_GB2312"/>
          <w:highlight w:val="none"/>
        </w:rPr>
        <w:t>督促落实，协调</w:t>
      </w:r>
      <w:r>
        <w:rPr>
          <w:rFonts w:hint="eastAsia" w:ascii="Times New Roman" w:hAnsi="Times New Roman" w:eastAsia="仿宋_GB2312"/>
          <w:highlight w:val="none"/>
          <w:lang w:val="en-US" w:eastAsia="zh-CN"/>
        </w:rPr>
        <w:t>数据产业</w:t>
      </w:r>
      <w:r>
        <w:rPr>
          <w:rFonts w:hint="eastAsia" w:ascii="Times New Roman" w:hAnsi="Times New Roman" w:eastAsia="仿宋_GB2312"/>
          <w:highlight w:val="none"/>
        </w:rPr>
        <w:t>发展中的重大问题</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促进数据产业高质量发展</w:t>
      </w:r>
      <w:r>
        <w:rPr>
          <w:rFonts w:hint="eastAsia" w:ascii="Times New Roman" w:hAnsi="Times New Roman" w:eastAsia="仿宋_GB2312"/>
          <w:highlight w:val="none"/>
        </w:rPr>
        <w:t>。</w:t>
      </w:r>
    </w:p>
    <w:p>
      <w:pPr>
        <w:pStyle w:val="2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highlight w:val="none"/>
        </w:rPr>
      </w:pPr>
      <w:r>
        <w:rPr>
          <w:rFonts w:hint="eastAsia" w:ascii="Times New Roman" w:hAnsi="Times New Roman" w:eastAsia="仿宋_GB2312"/>
          <w:highlight w:val="none"/>
        </w:rPr>
        <w:t>市</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县（市、区）数据</w:t>
      </w:r>
      <w:r>
        <w:rPr>
          <w:rFonts w:hint="eastAsia" w:ascii="Times New Roman" w:hAnsi="Times New Roman" w:eastAsia="仿宋_GB2312"/>
          <w:highlight w:val="none"/>
        </w:rPr>
        <w:t>主管部门负责推进、协调、督促本行政区域内的</w:t>
      </w:r>
      <w:r>
        <w:rPr>
          <w:rFonts w:hint="eastAsia" w:ascii="Times New Roman" w:hAnsi="Times New Roman" w:eastAsia="仿宋_GB2312"/>
          <w:highlight w:val="none"/>
          <w:lang w:val="en-US" w:eastAsia="zh-CN"/>
        </w:rPr>
        <w:t>数据产业</w:t>
      </w:r>
      <w:r>
        <w:rPr>
          <w:rFonts w:hint="eastAsia" w:ascii="Times New Roman" w:hAnsi="Times New Roman" w:eastAsia="仿宋_GB2312"/>
          <w:highlight w:val="none"/>
        </w:rPr>
        <w:t>发展工作。</w:t>
      </w:r>
    </w:p>
    <w:p>
      <w:pPr>
        <w:pStyle w:val="2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highlight w:val="none"/>
          <w:lang w:val="en-US" w:eastAsia="zh-CN"/>
        </w:rPr>
      </w:pPr>
      <w:r>
        <w:rPr>
          <w:rFonts w:hint="eastAsia" w:ascii="Times New Roman" w:hAnsi="Times New Roman" w:eastAsia="仿宋_GB2312"/>
          <w:highlight w:val="none"/>
        </w:rPr>
        <w:t>市</w:t>
      </w:r>
      <w:r>
        <w:rPr>
          <w:rFonts w:hint="eastAsia" w:ascii="Times New Roman" w:hAnsi="Times New Roman" w:eastAsia="仿宋_GB2312"/>
          <w:highlight w:val="none"/>
          <w:lang w:eastAsia="zh-CN"/>
        </w:rPr>
        <w:t>、</w:t>
      </w:r>
      <w:r>
        <w:rPr>
          <w:rFonts w:hint="eastAsia" w:ascii="Times New Roman" w:hAnsi="Times New Roman" w:eastAsia="仿宋_GB2312"/>
          <w:highlight w:val="none"/>
          <w:lang w:val="en-US" w:eastAsia="zh-CN"/>
        </w:rPr>
        <w:t>县（市、区）发展改革、工业和信息化、商务、科技、财政、人力资源和社会保障、市场监督管理等部门应当在各自职责范围内负责数据产业促进相关工作。网信部门依法负责统筹协调网络数据安全、个人信息保护、数据跨境流通和相关监管工作。公安机关依法在职责范围内承担数据安全监管职责。各行业主管部门按照各自职责，协调推动本行业数据赋能、数字化转型等数据产业相关工作。</w:t>
      </w:r>
    </w:p>
    <w:p>
      <w:pPr>
        <w:pStyle w:val="21"/>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w:t>
      </w:r>
      <w:r>
        <w:rPr>
          <w:rFonts w:hint="eastAsia" w:eastAsia="黑体" w:cs="仿宋_GB2312"/>
          <w:b w:val="0"/>
          <w:bCs w:val="0"/>
          <w:color w:val="auto"/>
          <w:sz w:val="32"/>
          <w:szCs w:val="32"/>
          <w:highlight w:val="none"/>
          <w:lang w:val="en-US" w:eastAsia="zh-CN"/>
        </w:rPr>
        <w:t>二</w:t>
      </w:r>
      <w:r>
        <w:rPr>
          <w:rFonts w:hint="eastAsia" w:ascii="Times New Roman" w:hAnsi="Times New Roman" w:eastAsia="黑体" w:cs="仿宋_GB2312"/>
          <w:b w:val="0"/>
          <w:bCs w:val="0"/>
          <w:color w:val="auto"/>
          <w:sz w:val="32"/>
          <w:szCs w:val="32"/>
          <w:highlight w:val="none"/>
          <w:lang w:val="en-US" w:eastAsia="zh-CN"/>
        </w:rPr>
        <w:t xml:space="preserve">章 </w:t>
      </w:r>
      <w:r>
        <w:rPr>
          <w:rFonts w:hint="eastAsia" w:eastAsia="黑体" w:cs="仿宋_GB2312"/>
          <w:b w:val="0"/>
          <w:bCs w:val="0"/>
          <w:color w:val="auto"/>
          <w:sz w:val="32"/>
          <w:szCs w:val="32"/>
          <w:highlight w:val="none"/>
          <w:lang w:val="en-US" w:eastAsia="zh-CN"/>
        </w:rPr>
        <w:t>数据要素市场</w:t>
      </w:r>
    </w:p>
    <w:p>
      <w:pPr>
        <w:pStyle w:val="21"/>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cs="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第五条  【机制建设】</w:t>
      </w:r>
      <w:r>
        <w:rPr>
          <w:rFonts w:hint="eastAsia" w:ascii="Times New Roman" w:hAnsi="Times New Roman" w:eastAsia="仿宋_GB2312" w:cs="仿宋_GB2312"/>
          <w:b w:val="0"/>
          <w:bCs w:val="0"/>
          <w:color w:val="auto"/>
          <w:sz w:val="32"/>
          <w:szCs w:val="32"/>
          <w:highlight w:val="none"/>
          <w:lang w:val="en-US" w:eastAsia="zh-CN"/>
        </w:rPr>
        <w:t>市数据主管部门</w:t>
      </w:r>
      <w:r>
        <w:rPr>
          <w:rFonts w:hint="eastAsia" w:ascii="Times New Roman" w:hAnsi="Times New Roman" w:eastAsia="仿宋_GB2312" w:cs="仿宋_GB2312"/>
          <w:b w:val="0"/>
          <w:bCs w:val="0"/>
          <w:highlight w:val="none"/>
        </w:rPr>
        <w:t>应当建立健全培育数据市场的政策措施，完善数据</w:t>
      </w:r>
      <w:r>
        <w:rPr>
          <w:rFonts w:hint="eastAsia" w:ascii="Times New Roman" w:hAnsi="Times New Roman" w:eastAsia="仿宋_GB2312" w:cs="仿宋_GB2312"/>
          <w:b w:val="0"/>
          <w:bCs w:val="0"/>
          <w:highlight w:val="none"/>
          <w:lang w:val="en-US" w:eastAsia="zh-CN"/>
        </w:rPr>
        <w:t>供给、</w:t>
      </w:r>
      <w:r>
        <w:rPr>
          <w:rFonts w:hint="eastAsia" w:ascii="Times New Roman" w:hAnsi="Times New Roman" w:eastAsia="仿宋_GB2312" w:cs="仿宋_GB2312"/>
          <w:b w:val="0"/>
          <w:bCs w:val="0"/>
          <w:highlight w:val="none"/>
        </w:rPr>
        <w:t>流通</w:t>
      </w:r>
      <w:r>
        <w:rPr>
          <w:rFonts w:hint="eastAsia" w:ascii="Times New Roman" w:hAnsi="Times New Roman" w:eastAsia="仿宋_GB2312" w:cs="仿宋_GB2312"/>
          <w:b w:val="0"/>
          <w:bCs w:val="0"/>
          <w:highlight w:val="none"/>
          <w:lang w:val="en-US" w:eastAsia="zh-CN"/>
        </w:rPr>
        <w:t>和</w:t>
      </w:r>
      <w:r>
        <w:rPr>
          <w:rFonts w:hint="eastAsia" w:ascii="Times New Roman" w:hAnsi="Times New Roman" w:eastAsia="仿宋_GB2312" w:cs="仿宋_GB2312"/>
          <w:b w:val="0"/>
          <w:bCs w:val="0"/>
          <w:highlight w:val="none"/>
        </w:rPr>
        <w:t>交易规则，指导、推动数据市场建设。</w:t>
      </w:r>
      <w:r>
        <w:rPr>
          <w:rFonts w:hint="eastAsia" w:ascii="Times New Roman" w:hAnsi="Times New Roman" w:eastAsia="仿宋_GB2312" w:cs="仿宋_GB2312"/>
          <w:b w:val="0"/>
          <w:bCs w:val="0"/>
          <w:highlight w:val="none"/>
          <w:lang w:val="en-US" w:eastAsia="zh-CN"/>
        </w:rPr>
        <w:t>市</w:t>
      </w:r>
      <w:r>
        <w:rPr>
          <w:rFonts w:hint="eastAsia" w:ascii="Times New Roman" w:hAnsi="Times New Roman" w:eastAsia="仿宋_GB2312" w:cs="仿宋_GB2312"/>
          <w:b w:val="0"/>
          <w:bCs w:val="0"/>
          <w:highlight w:val="none"/>
        </w:rPr>
        <w:t>发展改革部门会同</w:t>
      </w:r>
      <w:r>
        <w:rPr>
          <w:rFonts w:hint="eastAsia" w:ascii="Times New Roman" w:hAnsi="Times New Roman" w:eastAsia="仿宋_GB2312" w:cs="仿宋_GB2312"/>
          <w:b w:val="0"/>
          <w:bCs w:val="0"/>
          <w:highlight w:val="none"/>
          <w:lang w:val="en-US" w:eastAsia="zh-CN"/>
        </w:rPr>
        <w:t>市</w:t>
      </w:r>
      <w:r>
        <w:rPr>
          <w:rFonts w:hint="eastAsia" w:ascii="Times New Roman" w:hAnsi="Times New Roman" w:eastAsia="仿宋_GB2312" w:cs="仿宋_GB2312"/>
          <w:b w:val="0"/>
          <w:bCs w:val="0"/>
          <w:highlight w:val="none"/>
        </w:rPr>
        <w:t>数据主管部门探索建立多样化、符合数据要素特性的价格形成机制。</w:t>
      </w:r>
      <w:r>
        <w:rPr>
          <w:rFonts w:hint="eastAsia" w:ascii="Times New Roman" w:hAnsi="Times New Roman" w:eastAsia="仿宋_GB2312" w:cs="仿宋_GB2312"/>
          <w:highlight w:val="none"/>
          <w:lang w:val="en-US" w:eastAsia="zh-CN"/>
        </w:rPr>
        <w:t>按照“谁投入、谁贡献、谁受益”原则，市数据主管部门应当会同有关部门加强对数据要素收益分配的指导和规范，保护市场主体的投入产出收益。</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lang w:eastAsia="zh-CN"/>
        </w:rPr>
      </w:pPr>
      <w:r>
        <w:rPr>
          <w:rFonts w:hint="eastAsia" w:ascii="Times New Roman" w:hAnsi="Times New Roman" w:eastAsia="仿宋_GB2312" w:cs="仿宋_GB2312"/>
          <w:b/>
          <w:bCs/>
          <w:color w:val="auto"/>
          <w:sz w:val="32"/>
          <w:szCs w:val="32"/>
          <w:highlight w:val="none"/>
          <w:lang w:val="en-US" w:eastAsia="zh-CN"/>
        </w:rPr>
        <w:t>第六条  【数据供给】</w:t>
      </w:r>
      <w:r>
        <w:rPr>
          <w:rFonts w:hint="eastAsia" w:ascii="Times New Roman" w:hAnsi="Times New Roman" w:eastAsia="仿宋_GB2312" w:cs="仿宋_GB2312"/>
          <w:sz w:val="32"/>
          <w:szCs w:val="32"/>
          <w:highlight w:val="none"/>
        </w:rPr>
        <w:t>市、县（市、区）数据主管部门统筹本行政区域数据供给工作，构建公共数据、企业数据、个人数据协同供给体系。强化数据源头供给</w:t>
      </w:r>
      <w:r>
        <w:rPr>
          <w:rFonts w:hint="eastAsia" w:ascii="Times New Roman" w:hAnsi="Times New Roman" w:eastAsia="仿宋_GB2312" w:cs="仿宋_GB2312"/>
          <w:sz w:val="32"/>
          <w:szCs w:val="32"/>
          <w:highlight w:val="none"/>
          <w:lang w:val="en-US" w:eastAsia="zh-CN"/>
        </w:rPr>
        <w:t>管理</w:t>
      </w:r>
      <w:r>
        <w:rPr>
          <w:rFonts w:hint="eastAsia" w:ascii="Times New Roman" w:hAnsi="Times New Roman" w:eastAsia="仿宋_GB2312" w:cs="仿宋_GB2312"/>
          <w:sz w:val="32"/>
          <w:szCs w:val="32"/>
          <w:highlight w:val="none"/>
        </w:rPr>
        <w:t>，保障数据真实、准确、合规，引导市场主体规范开展数据采集、归集和治理，推动高质量数据向要素市场集聚。</w:t>
      </w:r>
      <w:r>
        <w:rPr>
          <w:rFonts w:hint="eastAsia" w:ascii="Times New Roman" w:hAnsi="Times New Roman" w:eastAsia="仿宋_GB2312"/>
        </w:rPr>
        <w:t>健全公共数据属地回流和反馈机制，积极争取和配合国家、省级应用系统的数据属地回流</w:t>
      </w:r>
      <w:r>
        <w:rPr>
          <w:rFonts w:hint="eastAsia" w:ascii="Times New Roman" w:hAnsi="Times New Roman" w:eastAsia="仿宋_GB2312"/>
          <w:lang w:eastAsia="zh-CN"/>
        </w:rPr>
        <w:t>。</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b/>
          <w:bCs/>
          <w:sz w:val="32"/>
          <w:szCs w:val="32"/>
          <w:highlight w:val="none"/>
          <w:lang w:val="en-US" w:eastAsia="zh-CN"/>
        </w:rPr>
        <w:t xml:space="preserve">第七条  </w:t>
      </w:r>
      <w:r>
        <w:rPr>
          <w:rFonts w:hint="eastAsia" w:ascii="Times New Roman" w:hAnsi="Times New Roman" w:eastAsia="仿宋_GB2312" w:cs="仿宋_GB2312"/>
          <w:b/>
          <w:bCs/>
          <w:color w:val="auto"/>
          <w:sz w:val="32"/>
          <w:szCs w:val="32"/>
          <w:highlight w:val="none"/>
          <w:lang w:val="en-US" w:eastAsia="zh-CN"/>
        </w:rPr>
        <w:t>【数据授权运营】</w:t>
      </w:r>
      <w:r>
        <w:rPr>
          <w:rFonts w:hint="eastAsia" w:ascii="Times New Roman" w:hAnsi="Times New Roman" w:eastAsia="仿宋_GB2312" w:cs="仿宋_GB2312"/>
          <w:sz w:val="32"/>
          <w:szCs w:val="32"/>
          <w:highlight w:val="none"/>
        </w:rPr>
        <w:t>市人民政府应当建立公共数据授权运营机制，完善本市公共数据授权运营服务管理制度，简化运营服务单位从数据资源申请到数据资源获取所需流程，明确授权运营条件、程序、范围，以及运营规范、运营评价和退出情形等内容，促进公共数据资源开发利用。获得授权的公共数据运营服务单位负责建设维护并管理公共数据运营服务平台，依法依规提供公共数据产品和服务</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第八条  【数据权益保护】</w:t>
      </w:r>
      <w:r>
        <w:rPr>
          <w:rFonts w:hint="eastAsia" w:ascii="Times New Roman" w:hAnsi="Times New Roman" w:eastAsia="仿宋_GB2312" w:cs="仿宋_GB2312"/>
          <w:b w:val="0"/>
          <w:bCs w:val="0"/>
          <w:color w:val="auto"/>
          <w:sz w:val="32"/>
          <w:szCs w:val="32"/>
          <w:highlight w:val="none"/>
        </w:rPr>
        <w:t>自然人、法人和非法人组织依法享有数据资源持有、数据加工使用、数据产品经营等权益，依法获取收益。</w:t>
      </w:r>
    </w:p>
    <w:p>
      <w:pPr>
        <w:pStyle w:val="21"/>
        <w:bidi w:val="0"/>
        <w:rPr>
          <w:rFonts w:hint="eastAsia" w:ascii="Times New Roman" w:hAnsi="Times New Roman" w:eastAsia="仿宋_GB2312"/>
        </w:rPr>
      </w:pPr>
      <w:r>
        <w:rPr>
          <w:rFonts w:hint="eastAsia" w:ascii="Times New Roman" w:hAnsi="Times New Roman" w:eastAsia="仿宋_GB2312"/>
        </w:rPr>
        <w:t>鼓励自然人、法人和非法人组织在依法设立的登记机构对数据的持有、使用、经营等权益进行登记。经登记机构审查后取得的数据权益登记凭证可以作为开展或者参与数据流通交易、数据资源入账入表、融资担保等活动的证明。</w:t>
      </w:r>
    </w:p>
    <w:p>
      <w:pPr>
        <w:pStyle w:val="21"/>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outlineLvl w:val="1"/>
        <w:rPr>
          <w:rFonts w:hint="default" w:ascii="Times New Roman" w:hAnsi="Times New Roman" w:eastAsia="仿宋_GB2312"/>
          <w:lang w:val="en-US" w:eastAsia="zh-CN"/>
        </w:rPr>
      </w:pPr>
      <w:r>
        <w:rPr>
          <w:rFonts w:hint="default" w:ascii="Times New Roman" w:hAnsi="Times New Roman" w:eastAsia="仿宋_GB2312"/>
          <w:b/>
          <w:bCs/>
          <w:lang w:val="en-US" w:eastAsia="zh-CN"/>
        </w:rPr>
        <w:t>第九条  【数据交易</w:t>
      </w:r>
      <w:r>
        <w:rPr>
          <w:rFonts w:hint="eastAsia" w:ascii="Times New Roman" w:hAnsi="Times New Roman" w:eastAsia="仿宋_GB2312"/>
          <w:b/>
          <w:bCs/>
          <w:lang w:val="en-US" w:eastAsia="zh-CN"/>
        </w:rPr>
        <w:t>场所</w:t>
      </w:r>
      <w:r>
        <w:rPr>
          <w:rFonts w:hint="default" w:ascii="Times New Roman" w:hAnsi="Times New Roman" w:eastAsia="仿宋_GB2312"/>
          <w:b/>
          <w:bCs/>
          <w:lang w:val="en-US" w:eastAsia="zh-CN"/>
        </w:rPr>
        <w:t>】</w:t>
      </w:r>
      <w:r>
        <w:rPr>
          <w:rFonts w:hint="default" w:ascii="Times New Roman" w:hAnsi="Times New Roman" w:eastAsia="仿宋_GB2312"/>
          <w:lang w:val="en-US" w:eastAsia="zh-CN"/>
        </w:rPr>
        <w:t>市</w:t>
      </w:r>
      <w:r>
        <w:rPr>
          <w:rFonts w:hint="default" w:ascii="Times New Roman" w:hAnsi="Times New Roman" w:eastAsia="仿宋_GB2312"/>
        </w:rPr>
        <w:t>数据主管部门应当会同有关部门建立健全数据流通交易规则</w:t>
      </w:r>
      <w:r>
        <w:rPr>
          <w:rFonts w:hint="default" w:ascii="Times New Roman" w:hAnsi="Times New Roman" w:eastAsia="仿宋_GB2312"/>
          <w:lang w:val="en-US" w:eastAsia="zh-CN"/>
        </w:rPr>
        <w:t>和</w:t>
      </w:r>
      <w:r>
        <w:rPr>
          <w:rFonts w:hint="default" w:ascii="Times New Roman" w:hAnsi="Times New Roman" w:eastAsia="仿宋_GB2312"/>
        </w:rPr>
        <w:t>标准，</w:t>
      </w:r>
      <w:r>
        <w:rPr>
          <w:rFonts w:hint="default" w:ascii="Times New Roman" w:hAnsi="Times New Roman" w:eastAsia="仿宋_GB2312"/>
          <w:lang w:val="en-US" w:eastAsia="zh-CN"/>
        </w:rPr>
        <w:t>推动数据交易场所发挥引领带动作用，构建</w:t>
      </w:r>
      <w:r>
        <w:rPr>
          <w:rFonts w:hint="default" w:ascii="Times New Roman" w:hAnsi="Times New Roman" w:eastAsia="仿宋_GB2312"/>
        </w:rPr>
        <w:t>数据来源可确认、使用范围可界定、流通过程可追溯、安全风险可防范</w:t>
      </w:r>
      <w:r>
        <w:rPr>
          <w:rFonts w:hint="default" w:ascii="Times New Roman" w:hAnsi="Times New Roman" w:eastAsia="仿宋_GB2312"/>
          <w:lang w:val="en-US" w:eastAsia="zh-CN"/>
        </w:rPr>
        <w:t>的全链条数据流通交易服务体系，提升高质量数据集等各类数据产品和服务流通交易效率，降低数据流通交易成本，促进更大范围数据流通交易。</w:t>
      </w:r>
    </w:p>
    <w:p>
      <w:pPr>
        <w:pStyle w:val="21"/>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outlineLvl w:val="1"/>
        <w:rPr>
          <w:rFonts w:hint="default" w:ascii="Times New Roman" w:hAnsi="Times New Roman" w:eastAsia="仿宋_GB2312"/>
          <w:lang w:val="en-US" w:eastAsia="zh-CN"/>
        </w:rPr>
      </w:pPr>
      <w:r>
        <w:rPr>
          <w:rFonts w:hint="eastAsia" w:ascii="Times New Roman" w:hAnsi="Times New Roman" w:eastAsia="仿宋_GB2312"/>
        </w:rPr>
        <w:t>自然人、法人和非法人组织对其合法处理形成的数据产品和服务，可以根据市场供求关系自主定价，通过数据交易场所进行交易或者自行交易。</w:t>
      </w:r>
      <w:r>
        <w:rPr>
          <w:rFonts w:hint="default" w:ascii="Times New Roman" w:hAnsi="Times New Roman" w:eastAsia="仿宋_GB2312"/>
          <w:lang w:val="en-US" w:eastAsia="zh-CN"/>
        </w:rPr>
        <w:t>鼓励数据产品和服务通过数据交易场所开展流通交易。</w:t>
      </w:r>
    </w:p>
    <w:p>
      <w:pPr>
        <w:pStyle w:val="21"/>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w:t>
      </w:r>
      <w:r>
        <w:rPr>
          <w:rFonts w:hint="eastAsia" w:eastAsia="黑体" w:cs="仿宋_GB2312"/>
          <w:b w:val="0"/>
          <w:bCs w:val="0"/>
          <w:color w:val="auto"/>
          <w:sz w:val="32"/>
          <w:szCs w:val="32"/>
          <w:highlight w:val="none"/>
          <w:lang w:val="en-US" w:eastAsia="zh-CN"/>
        </w:rPr>
        <w:t>三</w:t>
      </w:r>
      <w:r>
        <w:rPr>
          <w:rFonts w:hint="eastAsia" w:ascii="Times New Roman" w:hAnsi="Times New Roman" w:eastAsia="黑体" w:cs="仿宋_GB2312"/>
          <w:b w:val="0"/>
          <w:bCs w:val="0"/>
          <w:color w:val="auto"/>
          <w:sz w:val="32"/>
          <w:szCs w:val="32"/>
          <w:highlight w:val="none"/>
          <w:lang w:val="en-US" w:eastAsia="zh-CN"/>
        </w:rPr>
        <w:t xml:space="preserve">章 </w:t>
      </w:r>
      <w:r>
        <w:rPr>
          <w:rFonts w:hint="eastAsia" w:eastAsia="黑体" w:cs="仿宋_GB2312"/>
          <w:b w:val="0"/>
          <w:bCs w:val="0"/>
          <w:color w:val="auto"/>
          <w:sz w:val="32"/>
          <w:szCs w:val="32"/>
          <w:highlight w:val="none"/>
          <w:lang w:val="en-US" w:eastAsia="zh-CN"/>
        </w:rPr>
        <w:t>数据产业发展</w:t>
      </w:r>
    </w:p>
    <w:p>
      <w:pPr>
        <w:pStyle w:val="21"/>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cs="仿宋_GB2312"/>
          <w:highlight w:val="none"/>
        </w:rPr>
      </w:pPr>
      <w:r>
        <w:rPr>
          <w:rFonts w:hint="eastAsia" w:ascii="Times New Roman" w:hAnsi="Times New Roman" w:eastAsia="仿宋_GB2312" w:cs="仿宋_GB2312"/>
          <w:b/>
          <w:bCs/>
          <w:color w:val="auto"/>
          <w:sz w:val="32"/>
          <w:szCs w:val="32"/>
          <w:highlight w:val="none"/>
          <w:lang w:val="en-US" w:eastAsia="zh-CN"/>
        </w:rPr>
        <w:t xml:space="preserve">第十条  </w:t>
      </w:r>
      <w:r>
        <w:rPr>
          <w:rFonts w:hint="eastAsia" w:ascii="Times New Roman" w:hAnsi="Times New Roman" w:eastAsia="仿宋_GB2312" w:cs="仿宋_GB2312"/>
          <w:b/>
          <w:bCs/>
          <w:color w:val="auto"/>
          <w:szCs w:val="32"/>
          <w:highlight w:val="none"/>
          <w:lang w:val="en-US" w:eastAsia="zh-CN"/>
        </w:rPr>
        <w:t>【产业体系】</w:t>
      </w:r>
      <w:r>
        <w:rPr>
          <w:rFonts w:hint="eastAsia" w:ascii="Times New Roman" w:hAnsi="Times New Roman" w:eastAsia="仿宋_GB2312" w:cs="仿宋_GB2312"/>
          <w:highlight w:val="none"/>
          <w:lang w:val="en-US" w:eastAsia="zh-CN"/>
        </w:rPr>
        <w:t>市、县（市、区）</w:t>
      </w:r>
      <w:r>
        <w:rPr>
          <w:rFonts w:hint="eastAsia" w:ascii="Times New Roman" w:hAnsi="Times New Roman" w:eastAsia="仿宋_GB2312" w:cs="仿宋_GB2312"/>
          <w:highlight w:val="none"/>
        </w:rPr>
        <w:t>人民政府应当根据当地产业基础和资源禀赋，制定数据产业发展相关规划、方案和政策措施，培育发展数据采集、存储、治理、分析、流通、应用等相关产业，推动构建数据产业生态体系。</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b/>
          <w:bCs/>
          <w:color w:val="auto"/>
          <w:sz w:val="32"/>
          <w:szCs w:val="32"/>
          <w:highlight w:val="none"/>
          <w:lang w:val="en-US" w:eastAsia="zh-CN"/>
        </w:rPr>
        <w:t>第十一条  【产业空间】</w:t>
      </w:r>
      <w:r>
        <w:rPr>
          <w:rFonts w:hint="eastAsia" w:ascii="Times New Roman" w:hAnsi="Times New Roman" w:eastAsia="仿宋_GB2312" w:cs="仿宋_GB2312"/>
          <w:highlight w:val="none"/>
          <w:lang w:val="en-US" w:eastAsia="zh-CN"/>
        </w:rPr>
        <w:t>市</w:t>
      </w:r>
      <w:r>
        <w:rPr>
          <w:rFonts w:hint="eastAsia" w:ascii="Times New Roman" w:hAnsi="Times New Roman" w:eastAsia="仿宋_GB2312" w:cs="仿宋_GB2312"/>
          <w:highlight w:val="none"/>
        </w:rPr>
        <w:t>人民政府</w:t>
      </w:r>
      <w:r>
        <w:rPr>
          <w:rFonts w:hint="eastAsia" w:ascii="Times New Roman" w:hAnsi="Times New Roman" w:eastAsia="仿宋_GB2312" w:cs="仿宋_GB2312"/>
          <w:highlight w:val="none"/>
          <w:lang w:val="en-US" w:eastAsia="zh-CN"/>
        </w:rPr>
        <w:t>应当</w:t>
      </w:r>
      <w:r>
        <w:rPr>
          <w:rFonts w:hint="eastAsia" w:ascii="Times New Roman" w:hAnsi="Times New Roman" w:eastAsia="仿宋_GB2312" w:cs="仿宋_GB2312"/>
          <w:color w:val="000000"/>
          <w:szCs w:val="32"/>
          <w:highlight w:val="none"/>
        </w:rPr>
        <w:t>按照“集约化、差异化、专业化”原则，统筹协调</w:t>
      </w:r>
      <w:r>
        <w:rPr>
          <w:rFonts w:hint="eastAsia" w:ascii="Times New Roman" w:hAnsi="Times New Roman" w:eastAsia="仿宋_GB2312" w:cs="仿宋_GB2312"/>
          <w:color w:val="000000"/>
          <w:szCs w:val="32"/>
          <w:highlight w:val="none"/>
          <w:lang w:val="en-US" w:eastAsia="zh-CN"/>
        </w:rPr>
        <w:t>有关</w:t>
      </w:r>
      <w:r>
        <w:rPr>
          <w:rFonts w:hint="eastAsia" w:ascii="Times New Roman" w:hAnsi="Times New Roman" w:eastAsia="仿宋_GB2312" w:cs="仿宋_GB2312"/>
          <w:color w:val="000000"/>
          <w:szCs w:val="32"/>
          <w:highlight w:val="none"/>
        </w:rPr>
        <w:t>县（市、区）人民政府规划建设特色鲜明、功能互补的数据产业</w:t>
      </w:r>
      <w:r>
        <w:rPr>
          <w:rFonts w:hint="eastAsia" w:ascii="Times New Roman" w:hAnsi="Times New Roman" w:eastAsia="仿宋_GB2312" w:cs="仿宋_GB2312"/>
          <w:color w:val="000000"/>
          <w:szCs w:val="32"/>
          <w:highlight w:val="none"/>
          <w:lang w:val="en-US" w:eastAsia="zh-CN"/>
        </w:rPr>
        <w:t>集聚区，</w:t>
      </w:r>
      <w:r>
        <w:rPr>
          <w:rFonts w:hint="eastAsia" w:ascii="Times New Roman" w:hAnsi="Times New Roman" w:eastAsia="仿宋_GB2312" w:cs="仿宋_GB2312"/>
          <w:color w:val="000000"/>
          <w:szCs w:val="32"/>
          <w:highlight w:val="none"/>
        </w:rPr>
        <w:t>明确发展重点和差异化定位，建立健全产业集群发展的协调评估机制，避免同质化无序竞争和低水平重复建设。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auto"/>
          <w:sz w:val="32"/>
          <w:szCs w:val="32"/>
          <w:highlight w:val="none"/>
          <w:lang w:val="en-US" w:eastAsia="zh-CN"/>
        </w:rPr>
        <w:t>第十二条  【企业培育】</w:t>
      </w:r>
      <w:r>
        <w:rPr>
          <w:rFonts w:hint="eastAsia" w:ascii="Times New Roman" w:hAnsi="Times New Roman" w:eastAsia="仿宋_GB2312" w:cs="仿宋_GB2312"/>
          <w:sz w:val="32"/>
          <w:szCs w:val="32"/>
          <w:highlight w:val="none"/>
          <w:lang w:val="en-US" w:eastAsia="zh-CN"/>
        </w:rPr>
        <w:t>市、县（市、区）</w:t>
      </w:r>
      <w:r>
        <w:rPr>
          <w:rFonts w:hint="eastAsia" w:ascii="Times New Roman" w:hAnsi="Times New Roman" w:eastAsia="仿宋_GB2312" w:cs="仿宋_GB2312"/>
          <w:sz w:val="32"/>
          <w:szCs w:val="32"/>
          <w:highlight w:val="none"/>
        </w:rPr>
        <w:t>人民政府及有关部门应当引导和支持以高质量数据集为重点的数据产业创新发展，培育</w:t>
      </w:r>
      <w:r>
        <w:rPr>
          <w:rFonts w:hint="eastAsia" w:ascii="Times New Roman" w:hAnsi="Times New Roman" w:eastAsia="仿宋_GB2312" w:cs="仿宋_GB2312"/>
          <w:sz w:val="32"/>
          <w:szCs w:val="32"/>
          <w:highlight w:val="none"/>
          <w:lang w:val="en-US" w:eastAsia="zh-CN"/>
        </w:rPr>
        <w:t>壮大</w:t>
      </w:r>
      <w:r>
        <w:rPr>
          <w:rFonts w:hint="eastAsia" w:ascii="Times New Roman" w:hAnsi="Times New Roman" w:eastAsia="仿宋_GB2312" w:cs="仿宋_GB2312"/>
          <w:sz w:val="32"/>
          <w:szCs w:val="32"/>
          <w:highlight w:val="none"/>
        </w:rPr>
        <w:t>数据资源、数据技术、数据服务、数据应用、数据安全、数据基础设施</w:t>
      </w:r>
      <w:r>
        <w:rPr>
          <w:rFonts w:hint="eastAsia" w:ascii="Times New Roman" w:hAnsi="Times New Roman" w:eastAsia="仿宋_GB2312" w:cs="仿宋_GB2312"/>
          <w:sz w:val="32"/>
          <w:szCs w:val="32"/>
          <w:highlight w:val="none"/>
          <w:lang w:val="en-US" w:eastAsia="zh-CN"/>
        </w:rPr>
        <w:t>等数据企业</w:t>
      </w:r>
      <w:r>
        <w:rPr>
          <w:rFonts w:hint="eastAsia" w:ascii="Times New Roman" w:hAnsi="Times New Roman" w:eastAsia="仿宋_GB2312" w:cs="仿宋_GB2312"/>
          <w:sz w:val="32"/>
          <w:szCs w:val="32"/>
          <w:highlight w:val="none"/>
        </w:rPr>
        <w:t>和第三方专业服务机构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创新数据业务与商业模式，推动智能化改造，提供多元数据产品和服务。</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auto"/>
          <w:sz w:val="32"/>
          <w:szCs w:val="32"/>
          <w:highlight w:val="none"/>
          <w:lang w:val="en-US" w:eastAsia="zh-CN"/>
        </w:rPr>
        <w:t>第十三条  【产业创新】</w:t>
      </w:r>
      <w:r>
        <w:rPr>
          <w:rFonts w:hint="eastAsia" w:ascii="Times New Roman" w:hAnsi="Times New Roman" w:eastAsia="仿宋_GB2312" w:cs="仿宋_GB2312"/>
          <w:b w:val="0"/>
          <w:bCs w:val="0"/>
          <w:color w:val="auto"/>
          <w:sz w:val="32"/>
          <w:szCs w:val="32"/>
          <w:highlight w:val="none"/>
          <w:lang w:val="en-US" w:eastAsia="zh-CN"/>
        </w:rPr>
        <w:t>市人民政府及有关部门应当完善数据产业技术创新体系和共性基础技术供给体系，推进数据领域技术进步和成果转化，推动</w:t>
      </w:r>
      <w:r>
        <w:rPr>
          <w:rFonts w:hint="eastAsia" w:ascii="Times New Roman" w:hAnsi="Times New Roman" w:eastAsia="仿宋_GB2312" w:cs="仿宋_GB2312"/>
          <w:sz w:val="32"/>
          <w:szCs w:val="32"/>
          <w:highlight w:val="none"/>
        </w:rPr>
        <w:t>人工智能、量子科技等</w:t>
      </w:r>
      <w:r>
        <w:rPr>
          <w:rFonts w:hint="eastAsia" w:ascii="Times New Roman" w:hAnsi="Times New Roman" w:eastAsia="仿宋_GB2312" w:cs="仿宋_GB2312"/>
          <w:b w:val="0"/>
          <w:bCs w:val="0"/>
          <w:color w:val="auto"/>
          <w:sz w:val="32"/>
          <w:szCs w:val="32"/>
          <w:highlight w:val="none"/>
          <w:lang w:val="en-US" w:eastAsia="zh-CN"/>
        </w:rPr>
        <w:t>先进技术产业化应用。鼓励支持数据基础研究和关键核心技术攻关，推动国家和地方</w:t>
      </w:r>
      <w:r>
        <w:rPr>
          <w:rFonts w:hint="eastAsia" w:ascii="Times New Roman" w:hAnsi="Times New Roman" w:eastAsia="仿宋_GB2312" w:cs="仿宋_GB2312"/>
          <w:sz w:val="32"/>
          <w:szCs w:val="32"/>
          <w:highlight w:val="none"/>
        </w:rPr>
        <w:t>实验室、新型研发机构、产业创新中心、技术创新中心等</w:t>
      </w:r>
      <w:r>
        <w:rPr>
          <w:rFonts w:hint="eastAsia" w:ascii="Times New Roman" w:hAnsi="Times New Roman" w:eastAsia="仿宋_GB2312" w:cs="仿宋_GB2312"/>
          <w:b w:val="0"/>
          <w:bCs w:val="0"/>
          <w:color w:val="auto"/>
          <w:sz w:val="32"/>
          <w:szCs w:val="32"/>
          <w:highlight w:val="none"/>
          <w:lang w:val="en-US" w:eastAsia="zh-CN"/>
        </w:rPr>
        <w:t>建设，促进数字技术创新与数据产业融合发展。</w:t>
      </w:r>
      <w:r>
        <w:rPr>
          <w:rFonts w:hint="eastAsia" w:ascii="Times New Roman" w:hAnsi="Times New Roman" w:eastAsia="仿宋_GB2312" w:cs="仿宋_GB2312"/>
          <w:sz w:val="32"/>
          <w:szCs w:val="32"/>
          <w:highlight w:val="none"/>
        </w:rPr>
        <w:t>支持数据产业优势企业联合上下游企业、科研机构和高等院校等建立数据产业创新联合体，优化产学研用协作机制，提升科技成果应用转化效能。</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color w:val="auto"/>
          <w:sz w:val="32"/>
          <w:szCs w:val="32"/>
          <w:highlight w:val="none"/>
          <w:lang w:val="en-US" w:eastAsia="zh-CN"/>
        </w:rPr>
        <w:t>第十四条  【应用场景】</w:t>
      </w:r>
      <w:r>
        <w:rPr>
          <w:rFonts w:hint="eastAsia" w:ascii="Times New Roman" w:hAnsi="Times New Roman" w:eastAsia="仿宋_GB2312" w:cs="仿宋_GB2312"/>
          <w:sz w:val="32"/>
          <w:szCs w:val="32"/>
          <w:highlight w:val="none"/>
          <w:lang w:val="en-US" w:eastAsia="zh-CN"/>
        </w:rPr>
        <w:t>市、县（市、区）</w:t>
      </w:r>
      <w:r>
        <w:rPr>
          <w:rFonts w:hint="eastAsia" w:ascii="Times New Roman" w:hAnsi="Times New Roman" w:eastAsia="仿宋_GB2312" w:cs="仿宋_GB2312"/>
          <w:sz w:val="32"/>
          <w:szCs w:val="32"/>
          <w:highlight w:val="none"/>
        </w:rPr>
        <w:t>人民政府</w:t>
      </w:r>
      <w:r>
        <w:rPr>
          <w:rFonts w:hint="eastAsia" w:ascii="Times New Roman" w:hAnsi="Times New Roman" w:eastAsia="仿宋_GB2312" w:cs="仿宋_GB2312"/>
          <w:sz w:val="32"/>
          <w:szCs w:val="32"/>
          <w:highlight w:val="none"/>
          <w:lang w:val="en-US" w:eastAsia="zh-CN"/>
        </w:rPr>
        <w:t>及有关</w:t>
      </w:r>
      <w:r>
        <w:rPr>
          <w:rFonts w:hint="eastAsia" w:ascii="Times New Roman" w:hAnsi="Times New Roman" w:eastAsia="仿宋_GB2312" w:cs="仿宋_GB2312"/>
          <w:sz w:val="32"/>
          <w:szCs w:val="32"/>
          <w:highlight w:val="none"/>
        </w:rPr>
        <w:t>部门</w:t>
      </w:r>
      <w:r>
        <w:rPr>
          <w:rFonts w:hint="eastAsia" w:ascii="Times New Roman" w:hAnsi="Times New Roman" w:eastAsia="仿宋_GB2312" w:cs="仿宋_GB2312"/>
          <w:sz w:val="32"/>
          <w:szCs w:val="32"/>
          <w:highlight w:val="none"/>
          <w:lang w:val="en-US" w:eastAsia="zh-CN"/>
        </w:rPr>
        <w:t>应当</w:t>
      </w:r>
      <w:r>
        <w:rPr>
          <w:rFonts w:hint="eastAsia" w:ascii="Times New Roman" w:hAnsi="Times New Roman" w:eastAsia="仿宋_GB2312" w:cs="仿宋_GB2312"/>
          <w:sz w:val="32"/>
          <w:szCs w:val="32"/>
          <w:highlight w:val="none"/>
        </w:rPr>
        <w:t>加强数据资源整合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征集和发布应用场景需求，建设</w:t>
      </w:r>
      <w:r>
        <w:rPr>
          <w:rFonts w:hint="eastAsia" w:ascii="Times New Roman" w:hAnsi="Times New Roman" w:eastAsia="仿宋_GB2312" w:cs="仿宋_GB2312"/>
          <w:sz w:val="32"/>
          <w:szCs w:val="32"/>
          <w:highlight w:val="none"/>
          <w:lang w:val="en-US" w:eastAsia="zh-CN"/>
        </w:rPr>
        <w:t>和推广</w:t>
      </w:r>
      <w:r>
        <w:rPr>
          <w:rFonts w:hint="eastAsia" w:ascii="Times New Roman" w:hAnsi="Times New Roman" w:eastAsia="仿宋_GB2312" w:cs="仿宋_GB2312"/>
          <w:sz w:val="32"/>
          <w:szCs w:val="32"/>
          <w:highlight w:val="none"/>
        </w:rPr>
        <w:t>典型数据应用场景，推进数据应用示范和创新。鼓励和支持市场主体主动发掘市场需求，探索拓展新场景，参与应用场景开发、建设和运营。</w:t>
      </w:r>
    </w:p>
    <w:p>
      <w:pPr>
        <w:pStyle w:val="21"/>
        <w:bidi w:val="0"/>
        <w:rPr>
          <w:rFonts w:hint="eastAsia"/>
        </w:rPr>
      </w:pPr>
      <w:r>
        <w:rPr>
          <w:rFonts w:hint="eastAsia"/>
        </w:rPr>
        <w:t>以应用为导向，持续加强高质量数据集</w:t>
      </w:r>
      <w:r>
        <w:rPr>
          <w:rFonts w:hint="eastAsia"/>
          <w:lang w:val="en-US" w:eastAsia="zh-CN"/>
        </w:rPr>
        <w:t>和语料库、行业垂类大模型</w:t>
      </w:r>
      <w:r>
        <w:rPr>
          <w:rFonts w:hint="eastAsia"/>
        </w:rPr>
        <w:t>建设</w:t>
      </w:r>
      <w:r>
        <w:rPr>
          <w:rFonts w:hint="eastAsia"/>
          <w:lang w:eastAsia="zh-CN"/>
        </w:rPr>
        <w:t>，</w:t>
      </w:r>
      <w:r>
        <w:rPr>
          <w:rFonts w:hint="eastAsia"/>
          <w:lang w:val="en-US" w:eastAsia="zh-CN"/>
        </w:rPr>
        <w:t>推动</w:t>
      </w:r>
      <w:r>
        <w:rPr>
          <w:rFonts w:hint="eastAsia"/>
          <w:lang w:eastAsia="zh-CN"/>
        </w:rPr>
        <w:t>人工智能产业发展</w:t>
      </w:r>
      <w:r>
        <w:rPr>
          <w:rFonts w:hint="eastAsia"/>
          <w:lang w:val="en-US" w:eastAsia="zh-CN"/>
        </w:rPr>
        <w:t>和赋能应用</w:t>
      </w:r>
      <w:r>
        <w:rPr>
          <w:rFonts w:hint="eastAsia"/>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outlineLvl w:val="1"/>
        <w:rPr>
          <w:rFonts w:hint="default" w:ascii="Times New Roman" w:hAnsi="Times New Roman" w:eastAsia="仿宋_GB2312" w:cs="仿宋_GB2312"/>
          <w:b w:val="0"/>
          <w:bCs w:val="0"/>
          <w:sz w:val="21"/>
          <w:szCs w:val="21"/>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第十五条  【工业数字化】</w:t>
      </w:r>
      <w:r>
        <w:rPr>
          <w:rFonts w:hint="eastAsia" w:ascii="Times New Roman" w:hAnsi="Times New Roman" w:eastAsia="仿宋_GB2312" w:cs="方正小标宋简体"/>
          <w:b w:val="0"/>
          <w:bCs w:val="0"/>
          <w:sz w:val="32"/>
          <w:szCs w:val="32"/>
          <w:highlight w:val="none"/>
          <w:lang w:val="en-US" w:eastAsia="zh-CN"/>
        </w:rPr>
        <w:t>市、县（市、区）</w:t>
      </w:r>
      <w:r>
        <w:rPr>
          <w:rFonts w:hint="eastAsia" w:ascii="Times New Roman" w:hAnsi="Times New Roman" w:eastAsia="仿宋_GB2312" w:cs="方正小标宋简体"/>
          <w:b w:val="0"/>
          <w:bCs w:val="0"/>
          <w:i w:val="0"/>
          <w:iCs w:val="0"/>
          <w:caps w:val="0"/>
          <w:spacing w:val="0"/>
          <w:sz w:val="32"/>
          <w:szCs w:val="32"/>
          <w:highlight w:val="none"/>
          <w:shd w:val="clear"/>
        </w:rPr>
        <w:t>人民政府及</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有关</w:t>
      </w:r>
      <w:r>
        <w:rPr>
          <w:rFonts w:hint="eastAsia" w:ascii="Times New Roman" w:hAnsi="Times New Roman" w:eastAsia="仿宋_GB2312" w:cs="方正小标宋简体"/>
          <w:b w:val="0"/>
          <w:bCs w:val="0"/>
          <w:i w:val="0"/>
          <w:iCs w:val="0"/>
          <w:caps w:val="0"/>
          <w:spacing w:val="0"/>
          <w:sz w:val="32"/>
          <w:szCs w:val="32"/>
          <w:highlight w:val="none"/>
          <w:shd w:val="clear"/>
        </w:rPr>
        <w:t>部门应当推动数据</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技术</w:t>
      </w:r>
      <w:r>
        <w:rPr>
          <w:rFonts w:hint="eastAsia" w:ascii="Times New Roman" w:hAnsi="Times New Roman" w:eastAsia="仿宋_GB2312" w:cs="方正小标宋简体"/>
          <w:b w:val="0"/>
          <w:bCs w:val="0"/>
          <w:i w:val="0"/>
          <w:iCs w:val="0"/>
          <w:caps w:val="0"/>
          <w:spacing w:val="0"/>
          <w:sz w:val="32"/>
          <w:szCs w:val="32"/>
          <w:highlight w:val="none"/>
          <w:shd w:val="clear"/>
        </w:rPr>
        <w:t>在工业领域的</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深度</w:t>
      </w:r>
      <w:r>
        <w:rPr>
          <w:rFonts w:hint="eastAsia" w:ascii="Times New Roman" w:hAnsi="Times New Roman" w:eastAsia="仿宋_GB2312" w:cs="方正小标宋简体"/>
          <w:b w:val="0"/>
          <w:bCs w:val="0"/>
          <w:i w:val="0"/>
          <w:iCs w:val="0"/>
          <w:caps w:val="0"/>
          <w:spacing w:val="0"/>
          <w:sz w:val="32"/>
          <w:szCs w:val="32"/>
          <w:highlight w:val="none"/>
          <w:shd w:val="clear"/>
        </w:rPr>
        <w:t>应用，支持工业企业实施智能化改造和数字化转型。支持</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新材料、</w:t>
      </w:r>
      <w:r>
        <w:rPr>
          <w:rFonts w:hint="eastAsia" w:ascii="Times New Roman" w:hAnsi="Times New Roman" w:eastAsia="仿宋_GB2312" w:cs="方正小标宋简体"/>
          <w:b w:val="0"/>
          <w:bCs w:val="0"/>
          <w:i w:val="0"/>
          <w:iCs w:val="0"/>
          <w:caps w:val="0"/>
          <w:spacing w:val="0"/>
          <w:sz w:val="32"/>
          <w:szCs w:val="32"/>
          <w:highlight w:val="none"/>
          <w:shd w:val="clear"/>
        </w:rPr>
        <w:t>装备制造、</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生物医药</w:t>
      </w:r>
      <w:r>
        <w:rPr>
          <w:rFonts w:hint="eastAsia" w:ascii="Times New Roman" w:hAnsi="Times New Roman" w:eastAsia="仿宋_GB2312" w:cs="方正小标宋简体"/>
          <w:b w:val="0"/>
          <w:bCs w:val="0"/>
          <w:i w:val="0"/>
          <w:iCs w:val="0"/>
          <w:caps w:val="0"/>
          <w:spacing w:val="0"/>
          <w:sz w:val="32"/>
          <w:szCs w:val="32"/>
          <w:highlight w:val="none"/>
          <w:shd w:val="clear"/>
        </w:rPr>
        <w:t>等重点产业领域结合数字技术进行升级改造，建设数据驱动的智能车间、智能工厂，提升</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工业</w:t>
      </w:r>
      <w:r>
        <w:rPr>
          <w:rFonts w:hint="eastAsia" w:ascii="Times New Roman" w:hAnsi="Times New Roman" w:eastAsia="仿宋_GB2312" w:cs="方正小标宋简体"/>
          <w:b w:val="0"/>
          <w:bCs w:val="0"/>
          <w:i w:val="0"/>
          <w:iCs w:val="0"/>
          <w:caps w:val="0"/>
          <w:spacing w:val="0"/>
          <w:sz w:val="32"/>
          <w:szCs w:val="32"/>
          <w:highlight w:val="none"/>
          <w:shd w:val="clear"/>
        </w:rPr>
        <w:t>数字化、网络化、智能化水平。</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outlineLvl w:val="1"/>
        <w:rPr>
          <w:rFonts w:hint="default" w:ascii="Times New Roman" w:hAnsi="Times New Roman" w:eastAsia="仿宋_GB2312" w:cs="仿宋_GB2312"/>
          <w:b w:val="0"/>
          <w:bCs w:val="0"/>
          <w:sz w:val="21"/>
          <w:szCs w:val="21"/>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第十六条  【服务业数字化】</w:t>
      </w:r>
      <w:r>
        <w:rPr>
          <w:rFonts w:hint="eastAsia" w:ascii="Times New Roman" w:hAnsi="Times New Roman" w:eastAsia="仿宋_GB2312" w:cs="方正小标宋简体"/>
          <w:b w:val="0"/>
          <w:bCs w:val="0"/>
          <w:sz w:val="32"/>
          <w:szCs w:val="32"/>
          <w:highlight w:val="none"/>
          <w:lang w:val="en-US" w:eastAsia="zh-CN"/>
        </w:rPr>
        <w:t>市、县（市、区）</w:t>
      </w:r>
      <w:r>
        <w:rPr>
          <w:rFonts w:hint="eastAsia" w:ascii="Times New Roman" w:hAnsi="Times New Roman" w:eastAsia="仿宋_GB2312" w:cs="方正小标宋简体"/>
          <w:b w:val="0"/>
          <w:bCs w:val="0"/>
          <w:i w:val="0"/>
          <w:iCs w:val="0"/>
          <w:caps w:val="0"/>
          <w:spacing w:val="0"/>
          <w:sz w:val="32"/>
          <w:szCs w:val="32"/>
          <w:highlight w:val="none"/>
          <w:shd w:val="clear"/>
        </w:rPr>
        <w:t>人民政府及</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有关</w:t>
      </w:r>
      <w:r>
        <w:rPr>
          <w:rFonts w:hint="eastAsia" w:ascii="Times New Roman" w:hAnsi="Times New Roman" w:eastAsia="仿宋_GB2312" w:cs="方正小标宋简体"/>
          <w:b w:val="0"/>
          <w:bCs w:val="0"/>
          <w:i w:val="0"/>
          <w:iCs w:val="0"/>
          <w:caps w:val="0"/>
          <w:spacing w:val="0"/>
          <w:sz w:val="32"/>
          <w:szCs w:val="32"/>
          <w:highlight w:val="none"/>
          <w:shd w:val="clear"/>
        </w:rPr>
        <w:t>部门</w:t>
      </w:r>
      <w:r>
        <w:rPr>
          <w:rFonts w:hint="eastAsia" w:ascii="Times New Roman" w:hAnsi="Times New Roman" w:eastAsia="仿宋_GB2312" w:cs="方正小标宋简体"/>
          <w:kern w:val="2"/>
          <w:sz w:val="32"/>
          <w:szCs w:val="32"/>
          <w:highlight w:val="none"/>
          <w:lang w:val="en-US" w:eastAsia="zh-CN" w:bidi="ar"/>
        </w:rPr>
        <w:t>应当推动数据技术在服务业的广泛应用，支持人工智能、物联网、区块链等新一代信息技术产业发展，鼓励发展智慧旅游、数字金融、数字文创、电子商务、智慧物流等现代服务业。</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outlineLvl w:val="1"/>
        <w:rPr>
          <w:rFonts w:hint="default" w:ascii="Times New Roman" w:hAnsi="Times New Roman" w:eastAsia="仿宋_GB2312" w:cs="仿宋_GB2312"/>
          <w:b w:val="0"/>
          <w:bCs w:val="0"/>
          <w:sz w:val="21"/>
          <w:szCs w:val="21"/>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第十七条  【农业数字化】</w:t>
      </w:r>
      <w:r>
        <w:rPr>
          <w:rFonts w:hint="eastAsia" w:ascii="Times New Roman" w:hAnsi="Times New Roman" w:eastAsia="仿宋_GB2312" w:cs="方正小标宋简体"/>
          <w:b w:val="0"/>
          <w:bCs w:val="0"/>
          <w:sz w:val="32"/>
          <w:szCs w:val="32"/>
          <w:highlight w:val="none"/>
          <w:lang w:val="en-US" w:eastAsia="zh-CN"/>
        </w:rPr>
        <w:t>市、县（市、区）</w:t>
      </w:r>
      <w:r>
        <w:rPr>
          <w:rFonts w:hint="eastAsia" w:ascii="Times New Roman" w:hAnsi="Times New Roman" w:eastAsia="仿宋_GB2312" w:cs="方正小标宋简体"/>
          <w:b w:val="0"/>
          <w:bCs w:val="0"/>
          <w:i w:val="0"/>
          <w:iCs w:val="0"/>
          <w:caps w:val="0"/>
          <w:spacing w:val="0"/>
          <w:sz w:val="32"/>
          <w:szCs w:val="32"/>
          <w:highlight w:val="none"/>
          <w:shd w:val="clear"/>
        </w:rPr>
        <w:t>人民政府及</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rPr>
        <w:t>有关</w:t>
      </w:r>
      <w:r>
        <w:rPr>
          <w:rFonts w:hint="eastAsia" w:ascii="Times New Roman" w:hAnsi="Times New Roman" w:eastAsia="仿宋_GB2312" w:cs="方正小标宋简体"/>
          <w:b w:val="0"/>
          <w:bCs w:val="0"/>
          <w:i w:val="0"/>
          <w:iCs w:val="0"/>
          <w:caps w:val="0"/>
          <w:spacing w:val="0"/>
          <w:sz w:val="32"/>
          <w:szCs w:val="32"/>
          <w:highlight w:val="none"/>
          <w:shd w:val="clear"/>
        </w:rPr>
        <w:t>部门</w:t>
      </w:r>
      <w:r>
        <w:rPr>
          <w:rFonts w:hint="eastAsia" w:ascii="Times New Roman" w:hAnsi="Times New Roman" w:eastAsia="仿宋_GB2312" w:cs="方正小标宋简体"/>
          <w:b w:val="0"/>
          <w:bCs w:val="0"/>
          <w:sz w:val="32"/>
          <w:szCs w:val="32"/>
          <w:highlight w:val="none"/>
          <w:lang w:bidi="ar"/>
        </w:rPr>
        <w:t>应当推动数据技术在农业领域的</w:t>
      </w:r>
      <w:r>
        <w:rPr>
          <w:rFonts w:hint="eastAsia" w:ascii="Times New Roman" w:hAnsi="Times New Roman" w:eastAsia="仿宋_GB2312" w:cs="方正小标宋简体"/>
          <w:b w:val="0"/>
          <w:bCs w:val="0"/>
          <w:sz w:val="32"/>
          <w:szCs w:val="32"/>
          <w:highlight w:val="none"/>
          <w:lang w:val="en-US" w:eastAsia="zh-CN" w:bidi="ar"/>
        </w:rPr>
        <w:t>融合</w:t>
      </w:r>
      <w:r>
        <w:rPr>
          <w:rFonts w:hint="eastAsia" w:ascii="Times New Roman" w:hAnsi="Times New Roman" w:eastAsia="仿宋_GB2312" w:cs="方正小标宋简体"/>
          <w:b w:val="0"/>
          <w:bCs w:val="0"/>
          <w:sz w:val="32"/>
          <w:szCs w:val="32"/>
          <w:highlight w:val="none"/>
          <w:lang w:bidi="ar"/>
        </w:rPr>
        <w:t>应用，推进数字技术在农业生产、加工、销售、物流等环节的深度应用，加快种植业、种业、林业、畜牧业、渔业等数字化转型</w:t>
      </w:r>
      <w:r>
        <w:rPr>
          <w:rFonts w:hint="eastAsia" w:ascii="Times New Roman" w:hAnsi="Times New Roman" w:eastAsia="仿宋_GB2312" w:cs="方正小标宋简体"/>
          <w:b w:val="0"/>
          <w:bCs w:val="0"/>
          <w:i w:val="0"/>
          <w:iCs w:val="0"/>
          <w:caps w:val="0"/>
          <w:spacing w:val="0"/>
          <w:sz w:val="32"/>
          <w:szCs w:val="32"/>
          <w:highlight w:val="none"/>
          <w:shd w:val="clear"/>
          <w:lang w:bidi="ar"/>
        </w:rPr>
        <w:t>，</w:t>
      </w:r>
      <w:r>
        <w:rPr>
          <w:rFonts w:hint="eastAsia" w:ascii="Times New Roman" w:hAnsi="Times New Roman" w:eastAsia="仿宋_GB2312" w:cs="方正小标宋简体"/>
          <w:b w:val="0"/>
          <w:bCs w:val="0"/>
          <w:i w:val="0"/>
          <w:iCs w:val="0"/>
          <w:caps w:val="0"/>
          <w:spacing w:val="0"/>
          <w:sz w:val="32"/>
          <w:szCs w:val="32"/>
          <w:highlight w:val="none"/>
          <w:shd w:val="clear"/>
          <w:lang w:val="en-US" w:eastAsia="zh-CN" w:bidi="ar"/>
        </w:rPr>
        <w:t>加强</w:t>
      </w:r>
      <w:r>
        <w:rPr>
          <w:rFonts w:hint="eastAsia" w:ascii="Times New Roman" w:hAnsi="Times New Roman" w:eastAsia="仿宋_GB2312" w:cs="方正小标宋简体"/>
          <w:b w:val="0"/>
          <w:bCs w:val="0"/>
          <w:i w:val="0"/>
          <w:iCs w:val="0"/>
          <w:caps w:val="0"/>
          <w:spacing w:val="0"/>
          <w:sz w:val="32"/>
          <w:szCs w:val="32"/>
          <w:highlight w:val="none"/>
          <w:shd w:val="clear"/>
          <w:lang w:bidi="ar"/>
        </w:rPr>
        <w:t>农产品电商及仓储物流发展。</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方正小标宋简体"/>
          <w:b w:val="0"/>
          <w:bCs w:val="0"/>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第十八条  【治理数字化】</w:t>
      </w:r>
      <w:r>
        <w:rPr>
          <w:rFonts w:hint="eastAsia" w:ascii="Times New Roman" w:hAnsi="Times New Roman" w:eastAsia="仿宋_GB2312" w:cs="方正小标宋简体"/>
          <w:b w:val="0"/>
          <w:bCs w:val="0"/>
          <w:sz w:val="32"/>
          <w:szCs w:val="32"/>
          <w:highlight w:val="none"/>
          <w:lang w:val="en-US" w:eastAsia="zh-CN"/>
        </w:rPr>
        <w:t>市、县（市、区）人民政府应当加快推进数字政府建设，促进数据技术与政府管理、服务、运行深度融合，全面提升城市运行管理数字化、智能化、精准化水平。</w:t>
      </w:r>
    </w:p>
    <w:p>
      <w:pPr>
        <w:pStyle w:val="21"/>
        <w:bidi w:val="0"/>
        <w:rPr>
          <w:rFonts w:hint="default"/>
          <w:lang w:val="en-US" w:eastAsia="zh-CN"/>
        </w:rPr>
      </w:pPr>
      <w:r>
        <w:rPr>
          <w:rFonts w:hint="eastAsia"/>
          <w:lang w:val="en-US" w:eastAsia="zh-CN"/>
        </w:rPr>
        <w:t>市、县（市、区）人民政府应当建立健全数字化社会治理和数据辅助决策机制，推动数字化服务普惠应用，重点拓展交通出行、健康医疗、社会保障、就业创业、教育体育等领域的数字综合应用。</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第十九条  【特色区域】</w:t>
      </w:r>
      <w:r>
        <w:rPr>
          <w:rFonts w:hint="eastAsia" w:ascii="Times New Roman" w:hAnsi="Times New Roman" w:eastAsia="仿宋_GB2312" w:cs="仿宋_GB2312"/>
          <w:sz w:val="32"/>
          <w:szCs w:val="32"/>
          <w:highlight w:val="none"/>
          <w:lang w:eastAsia="zh-CN"/>
        </w:rPr>
        <w:t>发挥中国（云南）自由贸易试验区昆明片区、中国老挝磨憨-磨丁经济合作区高水平开放平台作用，</w:t>
      </w:r>
      <w:r>
        <w:rPr>
          <w:rFonts w:hint="eastAsia" w:ascii="Times New Roman" w:hAnsi="Times New Roman" w:eastAsia="仿宋_GB2312" w:cs="仿宋_GB2312"/>
          <w:highlight w:val="none"/>
          <w:lang w:val="en-US" w:eastAsia="zh-CN"/>
        </w:rPr>
        <w:t>推动出台</w:t>
      </w:r>
      <w:r>
        <w:rPr>
          <w:rFonts w:hint="eastAsia" w:ascii="Times New Roman" w:hAnsi="Times New Roman" w:eastAsia="仿宋_GB2312" w:cs="仿宋_GB2312"/>
          <w:highlight w:val="none"/>
          <w:lang w:eastAsia="zh-CN"/>
        </w:rPr>
        <w:t>数据</w:t>
      </w:r>
      <w:r>
        <w:rPr>
          <w:rFonts w:hint="eastAsia" w:ascii="Times New Roman" w:hAnsi="Times New Roman" w:eastAsia="仿宋_GB2312" w:cs="仿宋_GB2312"/>
          <w:highlight w:val="none"/>
          <w:lang w:val="en-US" w:eastAsia="zh-CN"/>
        </w:rPr>
        <w:t>跨境</w:t>
      </w:r>
      <w:r>
        <w:rPr>
          <w:rFonts w:hint="eastAsia" w:ascii="Times New Roman" w:hAnsi="Times New Roman" w:eastAsia="仿宋_GB2312" w:cs="仿宋_GB2312"/>
          <w:highlight w:val="none"/>
          <w:lang w:eastAsia="zh-CN"/>
        </w:rPr>
        <w:t>分类分级</w:t>
      </w:r>
      <w:r>
        <w:rPr>
          <w:rFonts w:hint="eastAsia" w:ascii="Times New Roman" w:hAnsi="Times New Roman" w:eastAsia="仿宋_GB2312" w:cs="仿宋_GB2312"/>
          <w:highlight w:val="none"/>
          <w:lang w:val="en-US" w:eastAsia="zh-CN"/>
        </w:rPr>
        <w:t>管理办法、数据出境操作指引、数据出境管理负面清单，</w:t>
      </w:r>
      <w:r>
        <w:rPr>
          <w:rFonts w:hint="eastAsia" w:ascii="Times New Roman" w:hAnsi="Times New Roman" w:eastAsia="仿宋_GB2312" w:cs="仿宋_GB2312"/>
          <w:sz w:val="32"/>
          <w:szCs w:val="32"/>
          <w:highlight w:val="none"/>
          <w:lang w:eastAsia="zh-CN"/>
        </w:rPr>
        <w:t>探索推动跨境数据</w:t>
      </w:r>
      <w:r>
        <w:rPr>
          <w:rFonts w:hint="eastAsia" w:ascii="Times New Roman" w:hAnsi="Times New Roman" w:eastAsia="仿宋_GB2312" w:cs="仿宋_GB2312"/>
          <w:sz w:val="32"/>
          <w:szCs w:val="32"/>
          <w:highlight w:val="none"/>
          <w:lang w:val="en-US" w:eastAsia="zh-CN"/>
        </w:rPr>
        <w:t>安全</w:t>
      </w:r>
      <w:r>
        <w:rPr>
          <w:rFonts w:hint="eastAsia" w:ascii="Times New Roman" w:hAnsi="Times New Roman" w:eastAsia="仿宋_GB2312" w:cs="仿宋_GB2312"/>
          <w:sz w:val="32"/>
          <w:szCs w:val="32"/>
          <w:highlight w:val="none"/>
          <w:lang w:eastAsia="zh-CN"/>
        </w:rPr>
        <w:t>有序流动，</w:t>
      </w:r>
      <w:r>
        <w:rPr>
          <w:rFonts w:hint="eastAsia" w:ascii="Times New Roman" w:hAnsi="Times New Roman" w:eastAsia="仿宋_GB2312" w:cs="仿宋_GB2312"/>
          <w:highlight w:val="none"/>
          <w:lang w:eastAsia="zh-CN"/>
        </w:rPr>
        <w:t>提升</w:t>
      </w:r>
      <w:r>
        <w:rPr>
          <w:rFonts w:hint="eastAsia" w:ascii="Times New Roman" w:hAnsi="Times New Roman" w:eastAsia="仿宋_GB2312" w:cs="仿宋_GB2312"/>
          <w:sz w:val="32"/>
          <w:szCs w:val="32"/>
          <w:highlight w:val="none"/>
          <w:lang w:val="en-US" w:eastAsia="zh-CN"/>
        </w:rPr>
        <w:t>数据</w:t>
      </w:r>
      <w:r>
        <w:rPr>
          <w:rFonts w:hint="eastAsia" w:ascii="Times New Roman" w:hAnsi="Times New Roman" w:eastAsia="仿宋_GB2312" w:cs="仿宋_GB2312"/>
          <w:sz w:val="32"/>
          <w:szCs w:val="32"/>
          <w:highlight w:val="none"/>
          <w:lang w:eastAsia="zh-CN"/>
        </w:rPr>
        <w:t>企业</w:t>
      </w:r>
      <w:r>
        <w:rPr>
          <w:rFonts w:hint="eastAsia" w:ascii="Times New Roman" w:hAnsi="Times New Roman" w:eastAsia="仿宋_GB2312" w:cs="仿宋_GB2312"/>
          <w:sz w:val="32"/>
          <w:szCs w:val="32"/>
          <w:highlight w:val="none"/>
          <w:lang w:val="en-US" w:eastAsia="zh-CN"/>
        </w:rPr>
        <w:t>面向</w:t>
      </w:r>
      <w:r>
        <w:rPr>
          <w:rFonts w:hint="eastAsia" w:ascii="Times New Roman" w:hAnsi="Times New Roman" w:eastAsia="仿宋_GB2312" w:cs="仿宋_GB2312"/>
          <w:sz w:val="32"/>
          <w:szCs w:val="32"/>
          <w:highlight w:val="none"/>
          <w:lang w:eastAsia="zh-CN"/>
        </w:rPr>
        <w:t>南亚东南亚</w:t>
      </w:r>
      <w:r>
        <w:rPr>
          <w:rFonts w:hint="eastAsia" w:ascii="Times New Roman" w:hAnsi="Times New Roman" w:eastAsia="仿宋_GB2312" w:cs="仿宋_GB2312"/>
          <w:sz w:val="32"/>
          <w:szCs w:val="32"/>
          <w:highlight w:val="none"/>
          <w:lang w:val="en-US" w:eastAsia="zh-CN"/>
        </w:rPr>
        <w:t>国家</w:t>
      </w:r>
      <w:r>
        <w:rPr>
          <w:rFonts w:hint="eastAsia" w:ascii="Times New Roman" w:hAnsi="Times New Roman" w:eastAsia="仿宋_GB2312" w:cs="仿宋_GB2312"/>
          <w:highlight w:val="none"/>
        </w:rPr>
        <w:t>输出技术</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rPr>
        <w:t>产品</w:t>
      </w:r>
      <w:r>
        <w:rPr>
          <w:rFonts w:hint="eastAsia" w:ascii="Times New Roman" w:hAnsi="Times New Roman" w:eastAsia="仿宋_GB2312" w:cs="仿宋_GB2312"/>
          <w:highlight w:val="none"/>
          <w:lang w:val="en-US" w:eastAsia="zh-CN"/>
        </w:rPr>
        <w:t>和</w:t>
      </w:r>
      <w:r>
        <w:rPr>
          <w:rFonts w:hint="eastAsia" w:ascii="Times New Roman" w:hAnsi="Times New Roman" w:eastAsia="仿宋_GB2312" w:cs="仿宋_GB2312"/>
          <w:highlight w:val="none"/>
        </w:rPr>
        <w:t>服务</w:t>
      </w:r>
      <w:r>
        <w:rPr>
          <w:rFonts w:hint="eastAsia" w:ascii="Times New Roman" w:hAnsi="Times New Roman" w:eastAsia="仿宋_GB2312" w:cs="仿宋_GB2312"/>
          <w:highlight w:val="none"/>
          <w:lang w:val="en-US" w:eastAsia="zh-CN"/>
        </w:rPr>
        <w:t>的</w:t>
      </w:r>
      <w:r>
        <w:rPr>
          <w:rFonts w:hint="eastAsia" w:ascii="Times New Roman" w:hAnsi="Times New Roman" w:eastAsia="仿宋_GB2312" w:cs="仿宋_GB2312"/>
          <w:highlight w:val="none"/>
        </w:rPr>
        <w:t>能力</w:t>
      </w:r>
      <w:r>
        <w:rPr>
          <w:rFonts w:hint="eastAsia" w:ascii="Times New Roman" w:hAnsi="Times New Roman" w:eastAsia="仿宋_GB2312" w:cs="仿宋_GB2312"/>
          <w:highlight w:val="none"/>
          <w:lang w:eastAsia="zh-CN"/>
        </w:rPr>
        <w:t>。</w:t>
      </w:r>
      <w:r>
        <w:rPr>
          <w:rFonts w:hint="eastAsia" w:ascii="Times New Roman" w:hAnsi="Times New Roman" w:eastAsia="仿宋_GB2312" w:cs="仿宋_GB2312"/>
          <w:highlight w:val="none"/>
          <w:lang w:val="en-US" w:eastAsia="zh-CN"/>
        </w:rPr>
        <w:t>依托昆明国际通信业务出入口局等新型基础设施，</w:t>
      </w:r>
      <w:r>
        <w:rPr>
          <w:rFonts w:hint="eastAsia" w:ascii="Times New Roman" w:hAnsi="Times New Roman" w:eastAsia="仿宋_GB2312" w:cs="仿宋_GB2312"/>
          <w:sz w:val="32"/>
          <w:szCs w:val="32"/>
          <w:highlight w:val="none"/>
          <w:lang w:val="en-US" w:eastAsia="zh-CN"/>
        </w:rPr>
        <w:t>推进两亚国际数据港建设，开展国际数据中心业务。</w:t>
      </w:r>
    </w:p>
    <w:p>
      <w:pPr>
        <w:pStyle w:val="21"/>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b/>
          <w:bCs/>
          <w:highlight w:val="none"/>
          <w:lang w:val="en-US" w:eastAsia="zh-CN"/>
        </w:rPr>
        <w:t>第二十条  【国内协同】</w:t>
      </w:r>
      <w:r>
        <w:rPr>
          <w:rFonts w:hint="eastAsia" w:ascii="Times New Roman" w:hAnsi="Times New Roman" w:eastAsia="仿宋_GB2312"/>
          <w:highlight w:val="none"/>
          <w:lang w:val="en-US" w:eastAsia="zh-CN"/>
        </w:rPr>
        <w:t>市人民政府及有关部门应当按照国家区域发展战略和地方区域发展布局，在数据标准规范统一、数据安全可信流通、算力资源合作发展、数据市场一体化、公共数据开发利用等方面加强与京津冀地区、长三角地区、粤港澳大湾区、成渝地区等区域协作。加强同其他区域数据产业的合作，吸引市外优秀企业在本市设立总部或者分部，鼓励本市优秀企业加强异地布局和市场开拓。</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第二十一条  【国际合作】</w:t>
      </w:r>
      <w:r>
        <w:rPr>
          <w:rFonts w:hint="eastAsia" w:ascii="Times New Roman" w:hAnsi="Times New Roman" w:eastAsia="仿宋_GB2312"/>
          <w:highlight w:val="none"/>
          <w:lang w:val="en-US" w:eastAsia="zh-CN"/>
        </w:rPr>
        <w:t>依托数字信息大通道建设，</w:t>
      </w:r>
      <w:r>
        <w:rPr>
          <w:rFonts w:hint="eastAsia" w:ascii="Times New Roman" w:hAnsi="Times New Roman" w:eastAsia="仿宋_GB2312"/>
          <w:highlight w:val="none"/>
        </w:rPr>
        <w:t>依法有序开展</w:t>
      </w:r>
      <w:r>
        <w:rPr>
          <w:rFonts w:hint="eastAsia" w:ascii="Times New Roman" w:hAnsi="Times New Roman" w:eastAsia="仿宋_GB2312"/>
          <w:highlight w:val="none"/>
          <w:lang w:val="en-US" w:eastAsia="zh-CN"/>
        </w:rPr>
        <w:t>数据产业、数据基础设施、数据技术创新等领域的国际交流合作，促进人才、资本、数据等市场要素安全流动、高效配置。鼓励数据产业市场主体在境外开展经营活动，参与数据领域国际规则和标准制定，推动数据技术、产品和服务在境外应用，提升国际化发展能力。</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第二十二条  【数据基础设施】</w:t>
      </w:r>
      <w:r>
        <w:rPr>
          <w:rFonts w:hint="eastAsia" w:ascii="Times New Roman" w:hAnsi="Times New Roman" w:eastAsia="仿宋_GB2312"/>
          <w:highlight w:val="none"/>
          <w:lang w:val="en-US" w:eastAsia="zh-CN"/>
        </w:rPr>
        <w:t>市人民政府及有关部门应当统筹流通利用、算力、网络、安全等数据基础设施规划布局，构建一体化、集约化、智能化数据基础设施体系。</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cs="方正小标宋简体"/>
          <w:b w:val="0"/>
          <w:bCs w:val="0"/>
          <w:sz w:val="32"/>
          <w:szCs w:val="32"/>
          <w:highlight w:val="none"/>
          <w:lang w:val="en-US" w:eastAsia="zh-CN"/>
        </w:rPr>
        <w:t>市人民政府应当鼓励打造智算、</w:t>
      </w:r>
      <w:r>
        <w:rPr>
          <w:rFonts w:hint="eastAsia" w:cs="方正小标宋简体"/>
          <w:b w:val="0"/>
          <w:bCs w:val="0"/>
          <w:sz w:val="32"/>
          <w:szCs w:val="32"/>
          <w:highlight w:val="none"/>
          <w:lang w:val="en-US" w:eastAsia="zh-CN"/>
        </w:rPr>
        <w:t>通算、</w:t>
      </w:r>
      <w:r>
        <w:rPr>
          <w:rFonts w:hint="eastAsia" w:ascii="Times New Roman" w:hAnsi="Times New Roman" w:eastAsia="仿宋_GB2312" w:cs="方正小标宋简体"/>
          <w:b w:val="0"/>
          <w:bCs w:val="0"/>
          <w:sz w:val="32"/>
          <w:szCs w:val="32"/>
          <w:highlight w:val="none"/>
          <w:lang w:val="en-US" w:eastAsia="zh-CN"/>
        </w:rPr>
        <w:t>云计算和边缘计算等产业集聚区，建立完善算力支撑体系</w:t>
      </w:r>
      <w:r>
        <w:rPr>
          <w:rFonts w:hint="eastAsia" w:ascii="Times New Roman" w:hAnsi="Times New Roman" w:eastAsia="仿宋_GB2312"/>
          <w:highlight w:val="none"/>
          <w:lang w:val="en-US" w:eastAsia="zh-CN"/>
        </w:rPr>
        <w:t>，积极主动融入全国一体化算力网。市工业和信息化、市发展改革、</w:t>
      </w:r>
      <w:r>
        <w:rPr>
          <w:rFonts w:hint="eastAsia"/>
          <w:highlight w:val="none"/>
          <w:lang w:val="en-US" w:eastAsia="zh-CN"/>
        </w:rPr>
        <w:t>市</w:t>
      </w:r>
      <w:r>
        <w:rPr>
          <w:rFonts w:hint="eastAsia" w:ascii="Times New Roman" w:hAnsi="Times New Roman" w:eastAsia="仿宋_GB2312"/>
          <w:highlight w:val="none"/>
          <w:lang w:val="en-US" w:eastAsia="zh-CN"/>
        </w:rPr>
        <w:t>数据主管等部门应当建立算电协同机制，推动算力设施与电力设施协同规划、联动建设和联合运行，协调供电企业加强供电设施建设和改造升级，促进算力与绿色电力融合。</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highlight w:val="none"/>
          <w:lang w:val="en-US" w:eastAsia="zh-CN"/>
        </w:rPr>
      </w:pPr>
      <w:r>
        <w:rPr>
          <w:rFonts w:hint="eastAsia" w:ascii="Times New Roman" w:hAnsi="Times New Roman" w:eastAsia="仿宋_GB2312"/>
          <w:highlight w:val="none"/>
          <w:lang w:val="en-US" w:eastAsia="zh-CN"/>
        </w:rPr>
        <w:t>鼓励科研机构、行业协会、行业龙头企业等加强产业链上下游数据协作，共建可信数据空间，为数据共享、开放、交易提供安全可靠环境。</w:t>
      </w:r>
    </w:p>
    <w:p>
      <w:pPr>
        <w:pStyle w:val="21"/>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w:t>
      </w:r>
      <w:r>
        <w:rPr>
          <w:rFonts w:hint="eastAsia" w:eastAsia="黑体" w:cs="仿宋_GB2312"/>
          <w:b w:val="0"/>
          <w:bCs w:val="0"/>
          <w:color w:val="auto"/>
          <w:sz w:val="32"/>
          <w:szCs w:val="32"/>
          <w:highlight w:val="none"/>
          <w:lang w:val="en-US" w:eastAsia="zh-CN"/>
        </w:rPr>
        <w:t>四</w:t>
      </w:r>
      <w:r>
        <w:rPr>
          <w:rFonts w:hint="eastAsia" w:ascii="Times New Roman" w:hAnsi="Times New Roman" w:eastAsia="黑体" w:cs="仿宋_GB2312"/>
          <w:b w:val="0"/>
          <w:bCs w:val="0"/>
          <w:color w:val="auto"/>
          <w:sz w:val="32"/>
          <w:szCs w:val="32"/>
          <w:highlight w:val="none"/>
          <w:lang w:val="en-US" w:eastAsia="zh-CN"/>
        </w:rPr>
        <w:t xml:space="preserve">章 </w:t>
      </w:r>
      <w:r>
        <w:rPr>
          <w:rFonts w:hint="eastAsia" w:eastAsia="黑体" w:cs="仿宋_GB2312"/>
          <w:b w:val="0"/>
          <w:bCs w:val="0"/>
          <w:color w:val="auto"/>
          <w:sz w:val="32"/>
          <w:szCs w:val="32"/>
          <w:highlight w:val="none"/>
          <w:lang w:val="en-US" w:eastAsia="zh-CN"/>
        </w:rPr>
        <w:t>数据安全</w:t>
      </w:r>
    </w:p>
    <w:p>
      <w:pPr>
        <w:pStyle w:val="21"/>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highlight w:val="none"/>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第二十三条  【数据安全工作机制】</w:t>
      </w:r>
      <w:r>
        <w:rPr>
          <w:rFonts w:hint="eastAsia" w:ascii="Times New Roman" w:hAnsi="Times New Roman" w:eastAsia="仿宋_GB2312"/>
          <w:highlight w:val="none"/>
          <w:lang w:val="en-US" w:eastAsia="zh-CN"/>
        </w:rPr>
        <w:t>市人民政府应当依照法律、法规规定建立健全数据安全治理体系，落实数据分类分级保护制度，保障数据全生命周期安全。各地、各部门对本地、本部门工作中收集和产生的数据及数据安全负责。各有关主管部门承担本行业、本领域数据安全监管职责，依照法律、法规的规定，采取相应措施保障数据安全。网信、公安、数据等有关部门应当开展数据安全风险评估、报告、信息共享、监测预警、风险认定工作，加强对数据安全风险信息的获取、分析、研判、预警。网信、公安、数据等有关部门应当探索建立数据相关的新技术运用安全评估机制，防止数据相关的新技术运用危害国家安全和公共利益、扰乱经济秩序和社会秩序、侵犯他人合法权益等。</w:t>
      </w:r>
    </w:p>
    <w:p>
      <w:pPr>
        <w:pStyle w:val="21"/>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b/>
          <w:bCs/>
          <w:highlight w:val="none"/>
          <w:lang w:val="en-US" w:eastAsia="zh-CN"/>
        </w:rPr>
        <w:t xml:space="preserve">第二十四条  </w:t>
      </w:r>
      <w:r>
        <w:rPr>
          <w:rFonts w:hint="eastAsia" w:ascii="Times New Roman" w:hAnsi="Times New Roman" w:eastAsia="仿宋_GB2312" w:cs="仿宋_GB2312"/>
          <w:b/>
          <w:bCs/>
          <w:color w:val="auto"/>
          <w:sz w:val="32"/>
          <w:szCs w:val="32"/>
          <w:highlight w:val="none"/>
          <w:lang w:val="en-US" w:eastAsia="zh-CN"/>
        </w:rPr>
        <w:t>【数据处理者】</w:t>
      </w:r>
      <w:r>
        <w:rPr>
          <w:rFonts w:hint="eastAsia" w:ascii="Times New Roman" w:hAnsi="Times New Roman" w:eastAsia="仿宋_GB2312" w:cs="仿宋_GB2312"/>
          <w:sz w:val="32"/>
          <w:szCs w:val="32"/>
          <w:highlight w:val="none"/>
        </w:rPr>
        <w:t>数据处理者是数据安全责任主体。同时存在多个数据处理者的，各数据处理者依法承担相应的安全责任</w:t>
      </w:r>
      <w:r>
        <w:rPr>
          <w:rFonts w:hint="eastAsia" w:ascii="Times New Roman" w:hAnsi="Times New Roman" w:eastAsia="仿宋_GB2312"/>
          <w:highlight w:val="none"/>
          <w:lang w:val="en-US" w:eastAsia="zh-CN"/>
        </w:rPr>
        <w:t>。数据处理者开展数据处理活动应当依照法律、行政法规的规定和国家标准的强制性要求，建立健全数据安全管理制度，组织开展数据安全教育培训，采取相应的技术措施和其他必要措施，加强数据处理全流程安全防护保障数据安全。</w:t>
      </w:r>
    </w:p>
    <w:p>
      <w:pPr>
        <w:pStyle w:val="21"/>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b/>
          <w:bCs/>
          <w:highlight w:val="none"/>
          <w:lang w:val="en-US" w:eastAsia="zh-CN"/>
        </w:rPr>
        <w:t xml:space="preserve">第二十五条  </w:t>
      </w:r>
      <w:r>
        <w:rPr>
          <w:rFonts w:hint="eastAsia" w:ascii="Times New Roman" w:hAnsi="Times New Roman" w:eastAsia="仿宋_GB2312" w:cs="仿宋_GB2312"/>
          <w:b/>
          <w:bCs/>
          <w:color w:val="auto"/>
          <w:sz w:val="32"/>
          <w:szCs w:val="32"/>
          <w:highlight w:val="none"/>
          <w:lang w:val="en-US" w:eastAsia="zh-CN"/>
        </w:rPr>
        <w:t>【数据安全应急</w:t>
      </w:r>
      <w:r>
        <w:rPr>
          <w:rFonts w:hint="eastAsia" w:ascii="Times New Roman" w:hAnsi="Times New Roman" w:eastAsia="仿宋_GB2312"/>
          <w:b/>
          <w:bCs/>
          <w:highlight w:val="none"/>
          <w:lang w:val="en-US" w:eastAsia="zh-CN"/>
        </w:rPr>
        <w:t>处置</w:t>
      </w:r>
      <w:r>
        <w:rPr>
          <w:rFonts w:hint="eastAsia" w:ascii="Times New Roman" w:hAnsi="Times New Roman" w:eastAsia="仿宋_GB2312" w:cs="仿宋_GB2312"/>
          <w:b/>
          <w:bCs/>
          <w:color w:val="auto"/>
          <w:sz w:val="32"/>
          <w:szCs w:val="32"/>
          <w:highlight w:val="none"/>
          <w:lang w:val="en-US" w:eastAsia="zh-CN"/>
        </w:rPr>
        <w:t>】</w:t>
      </w:r>
      <w:r>
        <w:rPr>
          <w:rFonts w:hint="eastAsia" w:ascii="Times New Roman" w:hAnsi="Times New Roman" w:eastAsia="仿宋_GB2312"/>
          <w:highlight w:val="none"/>
          <w:lang w:val="en-US" w:eastAsia="zh-CN"/>
        </w:rPr>
        <w:t>市、县（市、区）人民政府及有关部门应当建立应急预警、响应、支援处理和事后恢复等数据安全应急处置机制。发生数据安全事件，网信、公安、数据及有关行业主管部门应当按照应急预案，组织开展应急处置工作，防止危害扩大，消除安全隐患，并及时向社会发布与公众有关的警示信息。</w:t>
      </w:r>
    </w:p>
    <w:p>
      <w:pPr>
        <w:pStyle w:val="21"/>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w:t>
      </w:r>
      <w:r>
        <w:rPr>
          <w:rFonts w:hint="eastAsia" w:eastAsia="黑体" w:cs="仿宋_GB2312"/>
          <w:b w:val="0"/>
          <w:bCs w:val="0"/>
          <w:color w:val="auto"/>
          <w:sz w:val="32"/>
          <w:szCs w:val="32"/>
          <w:highlight w:val="none"/>
          <w:lang w:val="en-US" w:eastAsia="zh-CN"/>
        </w:rPr>
        <w:t>五</w:t>
      </w:r>
      <w:r>
        <w:rPr>
          <w:rFonts w:hint="eastAsia" w:ascii="Times New Roman" w:hAnsi="Times New Roman" w:eastAsia="黑体" w:cs="仿宋_GB2312"/>
          <w:b w:val="0"/>
          <w:bCs w:val="0"/>
          <w:color w:val="auto"/>
          <w:sz w:val="32"/>
          <w:szCs w:val="32"/>
          <w:highlight w:val="none"/>
          <w:lang w:val="en-US" w:eastAsia="zh-CN"/>
        </w:rPr>
        <w:t xml:space="preserve">章 </w:t>
      </w:r>
      <w:r>
        <w:rPr>
          <w:rFonts w:hint="eastAsia" w:eastAsia="黑体" w:cs="仿宋_GB2312"/>
          <w:b w:val="0"/>
          <w:bCs w:val="0"/>
          <w:color w:val="auto"/>
          <w:sz w:val="32"/>
          <w:szCs w:val="32"/>
          <w:highlight w:val="none"/>
          <w:lang w:val="en-US" w:eastAsia="zh-CN"/>
        </w:rPr>
        <w:t>保障措施</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第二十六条  【要素保障】</w:t>
      </w:r>
      <w:r>
        <w:rPr>
          <w:rFonts w:hint="eastAsia" w:ascii="Times New Roman" w:hAnsi="Times New Roman" w:eastAsia="仿宋_GB2312"/>
          <w:highlight w:val="none"/>
          <w:lang w:val="en-US" w:eastAsia="zh-CN"/>
        </w:rPr>
        <w:t>市、县（市、区）人民政府应当为数据企业用数、用云、用电、用地等提供便利政策，为数据产业健康发展提供保障。市、县（市、区）人民政府应当根据国土空间规划和数据产业发展应用的需要，依法保障和支持数据产业相关项目建设用地。</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第二十七条  【资金支持】</w:t>
      </w:r>
      <w:r>
        <w:rPr>
          <w:rFonts w:hint="eastAsia" w:ascii="Times New Roman" w:hAnsi="Times New Roman" w:eastAsia="仿宋_GB2312"/>
          <w:highlight w:val="none"/>
          <w:lang w:val="en-US" w:eastAsia="zh-CN"/>
        </w:rPr>
        <w:t>市、县（市、区）人民政府应当统筹安排数据领域建设和发展所需资金，支持数据标准制定、关键技术攻关、产业链构建、重大应用示范工程和公共服务平台建设等。市人民政府应当探索利用基金方式，引导社会资本参与，投资数据产业重点企业和重大项目。鼓励金融机构按照市场化、法治化原则加大对数据产业相关企业信贷支持力度。</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第二十八条  【人才引培】</w:t>
      </w:r>
      <w:r>
        <w:rPr>
          <w:rFonts w:hint="eastAsia" w:ascii="Times New Roman" w:hAnsi="Times New Roman" w:eastAsia="仿宋_GB2312" w:cs="仿宋_GB2312"/>
          <w:b w:val="0"/>
          <w:bCs w:val="0"/>
          <w:color w:val="auto"/>
          <w:sz w:val="32"/>
          <w:szCs w:val="32"/>
          <w:highlight w:val="none"/>
          <w:lang w:val="en-US" w:eastAsia="zh-CN"/>
        </w:rPr>
        <w:t>市</w:t>
      </w:r>
      <w:r>
        <w:rPr>
          <w:rFonts w:hint="eastAsia" w:ascii="Times New Roman" w:hAnsi="Times New Roman" w:eastAsia="仿宋_GB2312"/>
          <w:b w:val="0"/>
          <w:bCs w:val="0"/>
          <w:highlight w:val="none"/>
          <w:lang w:val="en-US" w:eastAsia="zh-CN"/>
        </w:rPr>
        <w:t>人</w:t>
      </w:r>
      <w:r>
        <w:rPr>
          <w:rFonts w:hint="eastAsia" w:ascii="Times New Roman" w:hAnsi="Times New Roman" w:eastAsia="仿宋_GB2312"/>
          <w:highlight w:val="none"/>
          <w:lang w:val="en-US" w:eastAsia="zh-CN"/>
        </w:rPr>
        <w:t>民政府及有关部门应当完善数据领域人才政策，创新数据领域人才培养、引进、使用、评价、激励和服务保障机制，为其开展教学科研和创新创业等活动创造条件。鼓励高等学校、科研机构等设置数据领域相关专业和课程，支持职业院校根据产业发展需要及时动态调整数据相关专业，引导有条件的数据企业参与，开展复合型人才培养。鼓励有条件的企业设立首席数据官，发挥首席数据官在数据开发利用、资产管理、安全治理等方面的作用。</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第二十九条  【知识产权】</w:t>
      </w:r>
      <w:r>
        <w:rPr>
          <w:rFonts w:hint="eastAsia" w:ascii="Times New Roman" w:hAnsi="Times New Roman" w:eastAsia="仿宋_GB2312" w:cs="仿宋_GB2312"/>
          <w:b w:val="0"/>
          <w:bCs w:val="0"/>
          <w:color w:val="auto"/>
          <w:sz w:val="32"/>
          <w:szCs w:val="32"/>
          <w:highlight w:val="none"/>
          <w:lang w:val="en-US" w:eastAsia="zh-CN"/>
        </w:rPr>
        <w:t>市知识产权主管部门应当会同有关部门建立健全与数据相关的知识产权保护机制，依法保护数据生产、流通、利用、共享过程中产生的知识产权，促进数据知识产权价值实现。鼓励数据处理者对其依法收集、经过一定算法加工、具有实用价值和智力成果属性的数据集合，按照有关规定申请权益登记，获得数据相关知识产权登记证书。鼓励第三方专业服务机构拓展数据相关知识产权的存证、公证、评价、评估、鉴定等服务。</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第三十条  【统计监测】</w:t>
      </w:r>
      <w:r>
        <w:rPr>
          <w:rFonts w:hint="eastAsia" w:ascii="Times New Roman" w:hAnsi="Times New Roman" w:eastAsia="仿宋_GB2312" w:cs="仿宋_GB2312"/>
          <w:b w:val="0"/>
          <w:bCs w:val="0"/>
          <w:color w:val="auto"/>
          <w:sz w:val="32"/>
          <w:szCs w:val="32"/>
          <w:highlight w:val="none"/>
          <w:lang w:val="en-US" w:eastAsia="zh-CN"/>
        </w:rPr>
        <w:t>市人民政府及统计等有关部门应当探索建立数据产业的统计核算指标体系和评估评价指南，评价各行政区、功能区、行业领域内数据对经济社会发展的贡献。市人民政府及有关部门应当落实国家、省对数据企业的认定管理要求。市统计部门应当推动数据要素纳入国民经济和社会发展的统计核算体系。</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第三十一条  【宣传引导】</w:t>
      </w:r>
      <w:r>
        <w:rPr>
          <w:rFonts w:hint="eastAsia" w:ascii="Times New Roman" w:hAnsi="Times New Roman" w:eastAsia="仿宋_GB2312" w:cs="仿宋_GB2312"/>
          <w:b w:val="0"/>
          <w:bCs w:val="0"/>
          <w:color w:val="auto"/>
          <w:sz w:val="32"/>
          <w:szCs w:val="32"/>
          <w:highlight w:val="none"/>
          <w:lang w:val="en-US" w:eastAsia="zh-CN"/>
        </w:rPr>
        <w:t>市人民政府及有关部门应当加强数据相关技术知识、法律知识的宣传、教育、培训，提高全社会数据认知和应用水平，提升全民数字素养和数字技能。市人民政府及有关部门应当支持在本市举办数据产业领域的展览、赛事、会议等活动，搭建数据产业展示、交易、交流、合作平台，提升全市数据产业的品牌影响力和集聚效应。新闻媒体应当开展数据领域相关公益宣传。</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第三十二条  【先行先试免责】</w:t>
      </w:r>
      <w:r>
        <w:rPr>
          <w:rFonts w:hint="eastAsia" w:ascii="Times New Roman" w:hAnsi="Times New Roman" w:eastAsia="仿宋_GB2312" w:cs="仿宋_GB2312"/>
          <w:b w:val="0"/>
          <w:bCs w:val="0"/>
          <w:color w:val="auto"/>
          <w:sz w:val="32"/>
          <w:szCs w:val="32"/>
          <w:highlight w:val="none"/>
          <w:lang w:val="en-US" w:eastAsia="zh-CN"/>
        </w:rPr>
        <w:t>对探索性的数据创新活动，在符合国家战略方向且风险可控的前提下，建立和完善包容审慎的监管规则。对在数据权益等方面尚无明确法律规定或者约定的创新项目，鼓励先行先试。支持先行先试项目建立尽职免责清单制度和轻微违法行为依法从轻、减轻或者不予处罚清单制度，对因政策调整或者技术局限造成的非重大失误</w:t>
      </w:r>
      <w:r>
        <w:rPr>
          <w:rFonts w:hint="eastAsia" w:cs="仿宋_GB2312"/>
          <w:b w:val="0"/>
          <w:bCs w:val="0"/>
          <w:color w:val="auto"/>
          <w:sz w:val="32"/>
          <w:szCs w:val="32"/>
          <w:highlight w:val="none"/>
          <w:lang w:val="en-US" w:eastAsia="zh-CN"/>
        </w:rPr>
        <w:t>免予</w:t>
      </w:r>
      <w:r>
        <w:rPr>
          <w:rFonts w:hint="eastAsia" w:ascii="Times New Roman" w:hAnsi="Times New Roman" w:eastAsia="仿宋_GB2312" w:cs="仿宋_GB2312"/>
          <w:b w:val="0"/>
          <w:bCs w:val="0"/>
          <w:color w:val="auto"/>
          <w:sz w:val="32"/>
          <w:szCs w:val="32"/>
          <w:highlight w:val="none"/>
          <w:lang w:val="en-US" w:eastAsia="zh-CN"/>
        </w:rPr>
        <w:t>追责，按程序和规定予以免除相应的责任。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第三十三条  【法律责任】</w:t>
      </w:r>
      <w:r>
        <w:rPr>
          <w:rFonts w:hint="eastAsia" w:ascii="Times New Roman" w:hAnsi="Times New Roman" w:eastAsia="仿宋_GB2312" w:cs="仿宋_GB2312"/>
          <w:b w:val="0"/>
          <w:bCs w:val="0"/>
          <w:color w:val="auto"/>
          <w:sz w:val="32"/>
          <w:szCs w:val="32"/>
          <w:highlight w:val="none"/>
          <w:lang w:val="en-US" w:eastAsia="zh-CN"/>
        </w:rPr>
        <w:t>违反本条例规定的行为，法律、法规对法律责任已有规定的，从其规定</w:t>
      </w:r>
      <w:r>
        <w:rPr>
          <w:rFonts w:hint="eastAsia" w:ascii="Times New Roman" w:hAnsi="Times New Roman" w:eastAsia="仿宋_GB2312" w:cs="仿宋_GB2312"/>
          <w:b/>
          <w:bCs/>
          <w:color w:val="auto"/>
          <w:sz w:val="32"/>
          <w:szCs w:val="32"/>
          <w:highlight w:val="none"/>
          <w:lang w:val="en-US" w:eastAsia="zh-CN"/>
        </w:rPr>
        <w:t>。</w:t>
      </w:r>
    </w:p>
    <w:p>
      <w:pPr>
        <w:pStyle w:val="21"/>
        <w:bidi w:val="0"/>
        <w:rPr>
          <w:rFonts w:hint="eastAsia"/>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黑体" w:cs="仿宋_GB2312"/>
          <w:b w:val="0"/>
          <w:bCs w:val="0"/>
          <w:color w:val="auto"/>
          <w:sz w:val="32"/>
          <w:szCs w:val="32"/>
          <w:highlight w:val="none"/>
          <w:lang w:val="en-US" w:eastAsia="zh-CN"/>
        </w:rPr>
      </w:pPr>
      <w:r>
        <w:rPr>
          <w:rFonts w:hint="eastAsia" w:ascii="Times New Roman" w:hAnsi="Times New Roman" w:eastAsia="黑体" w:cs="仿宋_GB2312"/>
          <w:b w:val="0"/>
          <w:bCs w:val="0"/>
          <w:color w:val="auto"/>
          <w:sz w:val="32"/>
          <w:szCs w:val="32"/>
          <w:highlight w:val="none"/>
          <w:lang w:val="en-US" w:eastAsia="zh-CN"/>
        </w:rPr>
        <w:t>第</w:t>
      </w:r>
      <w:r>
        <w:rPr>
          <w:rFonts w:hint="eastAsia" w:eastAsia="黑体" w:cs="仿宋_GB2312"/>
          <w:b w:val="0"/>
          <w:bCs w:val="0"/>
          <w:color w:val="auto"/>
          <w:sz w:val="32"/>
          <w:szCs w:val="32"/>
          <w:highlight w:val="none"/>
          <w:lang w:val="en-US" w:eastAsia="zh-CN"/>
        </w:rPr>
        <w:t>六</w:t>
      </w:r>
      <w:r>
        <w:rPr>
          <w:rFonts w:hint="eastAsia" w:ascii="Times New Roman" w:hAnsi="Times New Roman" w:eastAsia="黑体" w:cs="仿宋_GB2312"/>
          <w:b w:val="0"/>
          <w:bCs w:val="0"/>
          <w:color w:val="auto"/>
          <w:sz w:val="32"/>
          <w:szCs w:val="32"/>
          <w:highlight w:val="none"/>
          <w:lang w:val="en-US" w:eastAsia="zh-CN"/>
        </w:rPr>
        <w:t xml:space="preserve">章 </w:t>
      </w:r>
      <w:r>
        <w:rPr>
          <w:rFonts w:hint="eastAsia" w:eastAsia="黑体" w:cs="仿宋_GB2312"/>
          <w:b w:val="0"/>
          <w:bCs w:val="0"/>
          <w:color w:val="auto"/>
          <w:sz w:val="32"/>
          <w:szCs w:val="32"/>
          <w:highlight w:val="none"/>
          <w:lang w:val="en-US" w:eastAsia="zh-CN"/>
        </w:rPr>
        <w:t>附则</w:t>
      </w:r>
    </w:p>
    <w:p>
      <w:pPr>
        <w:pStyle w:val="21"/>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1"/>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第三十四条  【施行日期】</w:t>
      </w:r>
      <w:r>
        <w:rPr>
          <w:rFonts w:hint="eastAsia" w:ascii="Times New Roman" w:hAnsi="Times New Roman" w:eastAsia="仿宋_GB2312" w:cs="仿宋_GB2312"/>
          <w:sz w:val="32"/>
          <w:szCs w:val="32"/>
          <w:highlight w:val="none"/>
        </w:rPr>
        <w:t>本条例自20</w:t>
      </w:r>
      <w:r>
        <w:rPr>
          <w:rFonts w:hint="eastAsia" w:ascii="Times New Roman" w:hAnsi="Times New Roman" w:eastAsia="仿宋_GB2312" w:cs="仿宋_GB2312"/>
          <w:sz w:val="32"/>
          <w:szCs w:val="32"/>
          <w:highlight w:val="none"/>
          <w:lang w:val="en-US" w:eastAsia="zh-CN"/>
        </w:rPr>
        <w:t>XX</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X</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X</w:t>
      </w:r>
      <w:r>
        <w:rPr>
          <w:rFonts w:hint="eastAsia" w:ascii="Times New Roman" w:hAnsi="Times New Roman" w:eastAsia="仿宋_GB2312" w:cs="仿宋_GB2312"/>
          <w:sz w:val="32"/>
          <w:szCs w:val="32"/>
          <w:highlight w:val="none"/>
        </w:rPr>
        <w:t>日起施行。</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Helvetica">
    <w:altName w:val="Calibri"/>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DlgEG2QAAAAwBAAAPAAAAAAAAAAEA&#10;IAAAADgAAABkcnMvZG93bnJldi54bWxQSwECFAAUAAAACACHTuJAa4X5+zECAABhBAAADgAAAAAA&#10;AAABACAAAAA+AQAAZHJzL2Uyb0RvYy54bWxQSwUGAAAAAAYABgBZAQAA4QU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F2709"/>
    <w:multiLevelType w:val="multilevel"/>
    <w:tmpl w:val="140F2709"/>
    <w:lvl w:ilvl="0" w:tentative="0">
      <w:start w:val="1"/>
      <w:numFmt w:val="japaneseCounting"/>
      <w:pStyle w:val="22"/>
      <w:lvlText w:val="第%1条"/>
      <w:lvlJc w:val="left"/>
      <w:pPr>
        <w:ind w:left="860" w:hanging="440"/>
      </w:pPr>
      <w:rPr>
        <w:rFonts w:hint="eastAsia" w:eastAsia="楷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A5F"/>
    <w:rsid w:val="00940E69"/>
    <w:rsid w:val="01AA21ED"/>
    <w:rsid w:val="02542595"/>
    <w:rsid w:val="031511C4"/>
    <w:rsid w:val="04402271"/>
    <w:rsid w:val="04DA4474"/>
    <w:rsid w:val="04FF3EDA"/>
    <w:rsid w:val="056C004C"/>
    <w:rsid w:val="05856AD5"/>
    <w:rsid w:val="06451DC1"/>
    <w:rsid w:val="06DE46EF"/>
    <w:rsid w:val="07D214D5"/>
    <w:rsid w:val="07DE071F"/>
    <w:rsid w:val="087F4FFC"/>
    <w:rsid w:val="0A73514E"/>
    <w:rsid w:val="0AD11E75"/>
    <w:rsid w:val="0B0A5387"/>
    <w:rsid w:val="0CAF61E6"/>
    <w:rsid w:val="0EDF7256"/>
    <w:rsid w:val="0F697B22"/>
    <w:rsid w:val="11E22BBA"/>
    <w:rsid w:val="13367661"/>
    <w:rsid w:val="14773A8D"/>
    <w:rsid w:val="19823482"/>
    <w:rsid w:val="1A46462D"/>
    <w:rsid w:val="1A6A3574"/>
    <w:rsid w:val="1C422BD3"/>
    <w:rsid w:val="1CAC44F0"/>
    <w:rsid w:val="1EC75611"/>
    <w:rsid w:val="1FA71772"/>
    <w:rsid w:val="201E74B3"/>
    <w:rsid w:val="215D225D"/>
    <w:rsid w:val="220C3FEC"/>
    <w:rsid w:val="22E32B6F"/>
    <w:rsid w:val="23E629DD"/>
    <w:rsid w:val="2472250B"/>
    <w:rsid w:val="27743E5C"/>
    <w:rsid w:val="27C43035"/>
    <w:rsid w:val="28461C9C"/>
    <w:rsid w:val="2996630C"/>
    <w:rsid w:val="2A930A9D"/>
    <w:rsid w:val="2C016EBC"/>
    <w:rsid w:val="2D964B2C"/>
    <w:rsid w:val="300070D7"/>
    <w:rsid w:val="30234671"/>
    <w:rsid w:val="302F72D2"/>
    <w:rsid w:val="31F96F6D"/>
    <w:rsid w:val="33030EB6"/>
    <w:rsid w:val="346516FC"/>
    <w:rsid w:val="347D08F4"/>
    <w:rsid w:val="355359F9"/>
    <w:rsid w:val="3822186E"/>
    <w:rsid w:val="38B4055C"/>
    <w:rsid w:val="39930ABA"/>
    <w:rsid w:val="399E1277"/>
    <w:rsid w:val="3A824DB6"/>
    <w:rsid w:val="3D5E3983"/>
    <w:rsid w:val="3EE066D6"/>
    <w:rsid w:val="3F80388E"/>
    <w:rsid w:val="42295B17"/>
    <w:rsid w:val="42F111EE"/>
    <w:rsid w:val="434F15AD"/>
    <w:rsid w:val="44782D86"/>
    <w:rsid w:val="4A437992"/>
    <w:rsid w:val="4B63653E"/>
    <w:rsid w:val="4C7D362F"/>
    <w:rsid w:val="4DF53699"/>
    <w:rsid w:val="4E7E0E8A"/>
    <w:rsid w:val="502C325A"/>
    <w:rsid w:val="51CC64BF"/>
    <w:rsid w:val="5372411E"/>
    <w:rsid w:val="53D33B35"/>
    <w:rsid w:val="56485796"/>
    <w:rsid w:val="571107E5"/>
    <w:rsid w:val="57F81DBC"/>
    <w:rsid w:val="589F0489"/>
    <w:rsid w:val="5D73522D"/>
    <w:rsid w:val="5D753C77"/>
    <w:rsid w:val="5DA8052E"/>
    <w:rsid w:val="5F9F3465"/>
    <w:rsid w:val="62E55633"/>
    <w:rsid w:val="633E6DDC"/>
    <w:rsid w:val="646A4041"/>
    <w:rsid w:val="65E87914"/>
    <w:rsid w:val="693E707C"/>
    <w:rsid w:val="6AC36259"/>
    <w:rsid w:val="6C5C4BB7"/>
    <w:rsid w:val="6CA67BE1"/>
    <w:rsid w:val="6ED82BCC"/>
    <w:rsid w:val="713C4FB8"/>
    <w:rsid w:val="72E5797D"/>
    <w:rsid w:val="73497518"/>
    <w:rsid w:val="75422471"/>
    <w:rsid w:val="75FC2F67"/>
    <w:rsid w:val="76055F03"/>
    <w:rsid w:val="786372CE"/>
    <w:rsid w:val="799314ED"/>
    <w:rsid w:val="7B0326A2"/>
    <w:rsid w:val="7B9B37DC"/>
    <w:rsid w:val="7C694787"/>
    <w:rsid w:val="7CA73C2D"/>
    <w:rsid w:val="7E10135E"/>
    <w:rsid w:val="C75FA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rPr>
      <w:rFonts w:ascii="Times New Roman" w:hAnsi="Times New Roman" w:cs="Times New Roman"/>
      <w:szCs w:val="24"/>
    </w:rPr>
  </w:style>
  <w:style w:type="paragraph" w:customStyle="1" w:styleId="7">
    <w:name w:val="默认"/>
    <w:qFormat/>
    <w:uiPriority w:val="0"/>
    <w:rPr>
      <w:rFonts w:ascii="Helvetica" w:hAnsi="Helvetica" w:eastAsia="宋体" w:cs="Helvetica"/>
      <w:color w:val="000000"/>
      <w:sz w:val="22"/>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bottom w:val="single" w:color="auto" w:sz="6" w:space="1"/>
      </w:pBdr>
      <w:tabs>
        <w:tab w:val="center" w:pos="4153"/>
        <w:tab w:val="right" w:pos="8307"/>
      </w:tabs>
      <w:snapToGrid w:val="0"/>
      <w:jc w:val="center"/>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next w:val="1"/>
    <w:qFormat/>
    <w:uiPriority w:val="0"/>
    <w:pPr>
      <w:spacing w:line="360" w:lineRule="auto"/>
      <w:ind w:firstLine="200" w:firstLineChars="200"/>
    </w:pPr>
    <w:rPr>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文章标题"/>
    <w:basedOn w:val="1"/>
    <w:qFormat/>
    <w:uiPriority w:val="0"/>
    <w:pPr>
      <w:spacing w:line="560" w:lineRule="exact"/>
      <w:jc w:val="center"/>
      <w:outlineLvl w:val="0"/>
    </w:pPr>
    <w:rPr>
      <w:rFonts w:hint="eastAsia" w:ascii="方正小标宋简体" w:hAnsi="方正小标宋简体" w:eastAsia="方正小标宋简体" w:cs="方正小标宋简体"/>
      <w:sz w:val="44"/>
      <w:szCs w:val="52"/>
    </w:rPr>
  </w:style>
  <w:style w:type="paragraph" w:customStyle="1" w:styleId="18">
    <w:name w:val="一级标题"/>
    <w:basedOn w:val="1"/>
    <w:qFormat/>
    <w:uiPriority w:val="0"/>
    <w:pPr>
      <w:spacing w:line="560" w:lineRule="exact"/>
      <w:ind w:left="0" w:firstLine="880" w:firstLineChars="200"/>
      <w:outlineLvl w:val="0"/>
    </w:pPr>
    <w:rPr>
      <w:rFonts w:hint="eastAsia" w:ascii="方正小标宋简体" w:hAnsi="方正小标宋简体" w:eastAsia="黑体" w:cs="方正小标宋简体"/>
      <w:sz w:val="32"/>
      <w:szCs w:val="32"/>
    </w:rPr>
  </w:style>
  <w:style w:type="paragraph" w:customStyle="1" w:styleId="19">
    <w:name w:val="二级标题"/>
    <w:basedOn w:val="1"/>
    <w:qFormat/>
    <w:uiPriority w:val="0"/>
    <w:pPr>
      <w:spacing w:line="560" w:lineRule="exact"/>
      <w:ind w:firstLine="880" w:firstLineChars="200"/>
      <w:outlineLvl w:val="1"/>
    </w:pPr>
    <w:rPr>
      <w:rFonts w:hint="eastAsia" w:ascii="方正小标宋简体" w:hAnsi="方正小标宋简体" w:eastAsia="楷体_GB2312" w:cs="方正小标宋简体"/>
      <w:sz w:val="32"/>
      <w:szCs w:val="32"/>
    </w:rPr>
  </w:style>
  <w:style w:type="paragraph" w:customStyle="1" w:styleId="20">
    <w:name w:val="三级标题"/>
    <w:basedOn w:val="1"/>
    <w:qFormat/>
    <w:uiPriority w:val="0"/>
    <w:pPr>
      <w:spacing w:line="560" w:lineRule="exact"/>
      <w:ind w:firstLine="880" w:firstLineChars="200"/>
      <w:outlineLvl w:val="2"/>
    </w:pPr>
    <w:rPr>
      <w:rFonts w:hint="eastAsia" w:ascii="方正小标宋简体" w:hAnsi="方正小标宋简体" w:eastAsia="仿宋_GB2312" w:cs="方正小标宋简体"/>
      <w:sz w:val="32"/>
      <w:szCs w:val="32"/>
    </w:rPr>
  </w:style>
  <w:style w:type="paragraph" w:customStyle="1" w:styleId="21">
    <w:name w:val="文章正文"/>
    <w:basedOn w:val="1"/>
    <w:link w:val="24"/>
    <w:qFormat/>
    <w:uiPriority w:val="0"/>
    <w:pPr>
      <w:spacing w:line="560" w:lineRule="exact"/>
      <w:ind w:firstLine="880" w:firstLineChars="200"/>
      <w:outlineLvl w:val="9"/>
    </w:pPr>
    <w:rPr>
      <w:rFonts w:hint="eastAsia" w:ascii="Times New Roman" w:hAnsi="Times New Roman" w:eastAsia="仿宋_GB2312" w:cs="方正小标宋简体"/>
      <w:sz w:val="32"/>
      <w:szCs w:val="32"/>
    </w:rPr>
  </w:style>
  <w:style w:type="paragraph" w:customStyle="1" w:styleId="22">
    <w:name w:val="List Paragraph"/>
    <w:basedOn w:val="1"/>
    <w:unhideWhenUsed/>
    <w:qFormat/>
    <w:uiPriority w:val="99"/>
    <w:pPr>
      <w:numPr>
        <w:ilvl w:val="0"/>
        <w:numId w:val="1"/>
      </w:numPr>
    </w:pPr>
    <w:rPr>
      <w:sz w:val="32"/>
    </w:rPr>
  </w:style>
  <w:style w:type="paragraph" w:customStyle="1" w:styleId="23">
    <w:name w:val="1.正文"/>
    <w:basedOn w:val="1"/>
    <w:next w:val="9"/>
    <w:qFormat/>
    <w:uiPriority w:val="99"/>
    <w:rPr>
      <w:rFonts w:eastAsia="宋体"/>
    </w:rPr>
  </w:style>
  <w:style w:type="character" w:customStyle="1" w:styleId="24">
    <w:name w:val="文章正文 Char"/>
    <w:link w:val="21"/>
    <w:qFormat/>
    <w:uiPriority w:val="0"/>
    <w:rPr>
      <w:rFonts w:hint="eastAsia" w:ascii="Times New Roman" w:hAnsi="Times New Roman" w:eastAsia="仿宋_GB2312" w:cs="方正小标宋简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5589</Words>
  <Characters>5592</Characters>
  <Lines>0</Lines>
  <Paragraphs>0</Paragraphs>
  <TotalTime>10</TotalTime>
  <ScaleCrop>false</ScaleCrop>
  <LinksUpToDate>false</LinksUpToDate>
  <CharactersWithSpaces>5666</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2025-05-21T16:38:00Z</dcterms:created>
  <dc:creator>废名</dc:creator>
  <cp:lastModifiedBy>陈军</cp:lastModifiedBy>
  <cp:lastPrinted>2026-05-08T17:15:02Z</cp:lastPrinted>
  <dcterms:modified xsi:type="dcterms:W3CDTF">2026-05-08T17:15:11Z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6EC694D1DDA846AFBC37E92E56CAC080_12</vt:lpwstr>
  </property>
  <property fmtid="{D5CDD505-2E9C-101B-9397-08002B2CF9AE}" pid="4" name="KSOTemplateDocerSaveRecord">
    <vt:lpwstr>eyJoZGlkIjoiOTQwZWI1YjgzNjU5ZDdkNjU3MGM2ZTMxMGFjY2EzMTIiLCJ1c2VySWQiOiIxNDYzMjEzMjkwIn0=</vt:lpwstr>
  </property>
</Properties>
</file>